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https://www.autoritedelaconcurrence.fr/fr/decision-de-controle-des-concentrations/relative-la-prise-de-controle-exclusif-de-la-societe-avenir</w:t>
      </w:r>
    </w:p>
    <w:p>
      <w:r>
        <w:t>Pages translated : 12</w:t>
      </w:r>
    </w:p>
    <w:p/>
    <w:p>
      <w:r>
        <w:rPr>
          <w:b/>
        </w:rPr>
        <w:t>[Pages 1–3]</w:t>
      </w:r>
    </w:p>
    <w:p>
      <w:r>
        <w:t xml:space="preserve">FRENCH REPUBLIC  </w:t>
        <w:br/>
        <w:t xml:space="preserve">Decision No. 18-DCC-188 of November 6, 2018  </w:t>
        <w:br/>
        <w:t xml:space="preserve">regarding the exclusive control of the company Avenir by the  </w:t>
        <w:br/>
        <w:t>company Groupe Bernard Hayot</w:t>
      </w:r>
    </w:p>
    <w:p>
      <w:r>
        <w:t xml:space="preserve">The Competition Authority,  </w:t>
        <w:br/>
        <w:t xml:space="preserve">Having regard to the notification file submitted in full to the merger service on October 1, 2018,  </w:t>
        <w:br/>
        <w:t xml:space="preserve">regarding the exclusive control by the company Groupe Bernard Hayot of the company Avenir,  </w:t>
        <w:br/>
        <w:t xml:space="preserve">formalized by a share transfer agreement dated September 20, 2018;  </w:t>
        <w:br/>
        <w:t xml:space="preserve">Having regard to Book IV of the Commercial Code relating to price freedom and competition, and  </w:t>
        <w:br/>
        <w:t xml:space="preserve">notably its Articles L. 430-1 to L. 430-7;  </w:t>
        <w:br/>
        <w:t>Adopts the following decision:</w:t>
      </w:r>
    </w:p>
    <w:p>
      <w:r>
        <w:t xml:space="preserve">I. The companies concerned and the operation  </w:t>
        <w:br/>
        <w:t xml:space="preserve">1. Groupe Bernard Hayot is a simplified joint-stock company, at the head of a group of the same  </w:t>
        <w:br/>
        <w:t xml:space="preserve">name (hereinafter, "GBH"), primarily active in three business sectors: food and non-food distribution,  </w:t>
        <w:br/>
        <w:t xml:space="preserve">automotive distribution, and various industrial activities (agri-food, construction materials, tire retreading).  </w:t>
        <w:br/>
        <w:t xml:space="preserve">GBH is active in the Antilles-Guyane region, but also in Réunion, Cuba, Santo Domingo, Trinidad  </w:t>
        <w:br/>
        <w:t xml:space="preserve">and Tobago, mainland France, New Caledonia, Algeria, Morocco, Ghana, and China. In Guyana, GBH  </w:t>
        <w:br/>
        <w:t xml:space="preserve">operates a hypermarket under the Carrefour banner, with a sales area of 5,000 m², located in the  </w:t>
        <w:br/>
        <w:t xml:space="preserve">municipality of Matoury. It also engages in wholesale distribution of food-dominant products, both as  </w:t>
        <w:br/>
        <w:t xml:space="preserve">a wholesale importer through the companies Sodicar, Pamagel, and Héritiers Clément, and as a  </w:t>
        <w:br/>
        <w:t xml:space="preserve">purchasing center through the company Bamappro. Its subsidiary Héritiers Clément also produces rum.  </w:t>
        <w:br/>
        <w:t xml:space="preserve">2. The company Avenir (hereinafter, "Avenir") operates a supermarket, currently without a national  </w:t>
        <w:br/>
        <w:t xml:space="preserve">banner, with a sales area of 1,850 m², located in the municipality of Rémire-Montjoly, in Guyana.  </w:t>
        <w:br/>
        <w:t xml:space="preserve">It is controlled by the NG Kon Tia family.  </w:t>
        <w:br/>
        <w:t xml:space="preserve">1 Formerly operated under the Super U banner, the target store has, since July 1, 2018, been operated under the ad hoc banner "Super NKT  </w:t>
        <w:br/>
        <w:t>Montjoly," following the termination of the contract that linked the NG Kon Tia group to the Système U group.</w:t>
      </w:r>
    </w:p>
    <w:p>
      <w:r>
        <w:t xml:space="preserve">3. The proposed transaction involves the acquisition by GBH of all the shares of the company  </w:t>
        <w:br/>
        <w:t xml:space="preserve">Avenir. Following this transaction, the supermarket operated by the company Avenir will be rebranded  </w:t>
        <w:br/>
        <w:t xml:space="preserve">under the "Carrefour Contact" banner.  </w:t>
        <w:br/>
        <w:t xml:space="preserve">4. As it results in the exclusive control by GBH of the company Avenir, the notified transaction  </w:t>
        <w:br/>
        <w:t xml:space="preserve">constitutes a concentration within the meaning of Article L. 430-1 of the Commercial Code.  </w:t>
        <w:br/>
        <w:t xml:space="preserve">5. The companies concerned together achieve a total worldwide turnover excluding taxes of more than  </w:t>
        <w:br/>
        <w:t xml:space="preserve">75 million euros (GBH: [&gt; 75 million] euros for the last financial year ended December 31, 2017;  </w:t>
        <w:br/>
        <w:t xml:space="preserve">Avenir: [&lt; 75 million] euros for the same financial year). Each of these companies has achieved a  </w:t>
        <w:br/>
        <w:t xml:space="preserve">turnover in Guyana exceeding 5 million euros (GBH: [&gt; 75 million] euros for the last financial year  </w:t>
        <w:br/>
        <w:t xml:space="preserve">ended December 31, 2017; Avenir: [&gt; 5 million] euros for the same financial year). Given the  </w:t>
        <w:br/>
        <w:t xml:space="preserve">turnover achieved by the companies concerned, the operation does not fall under the jurisdiction of the  </w:t>
        <w:br/>
        <w:t xml:space="preserve">European Union. However, the thresholds mentioned in III of Article L. 430-2 of the Commercial Code  </w:t>
        <w:br/>
        <w:t xml:space="preserve">are exceeded. This operation is therefore subject to the provisions of Articles L. 430-3 and following of  </w:t>
        <w:br/>
        <w:t>the Commercial Code relating to economic concentration.</w:t>
      </w:r>
    </w:p>
    <w:p>
      <w:r>
        <w:t xml:space="preserve">II. Definition of relevant markets  </w:t>
        <w:br/>
        <w:t xml:space="preserve">6. The parties are simultaneously active in the markets for retail distribution with a food focus.  </w:t>
        <w:br/>
        <w:t xml:space="preserve">7. According to the consistent decision-making practice of competition authorities, two categories of  </w:t>
        <w:br/>
        <w:t xml:space="preserve">markets are defined in this sector. These are, on the one hand, the "upstream" markets for supplying  </w:t>
        <w:br/>
        <w:t xml:space="preserve">retail trade companies with consumer goods and, on the other hand, the "downstream" markets for  </w:t>
        <w:br/>
        <w:t xml:space="preserve">retail distribution with a food focus. Intermediate "wholesale" markets may also be defined, given  </w:t>
        <w:br/>
        <w:t>GBH's presence in these markets.</w:t>
      </w:r>
    </w:p>
    <w:p>
      <w:r>
        <w:t xml:space="preserve">A. UPSTREAM SUPPLY MARKETS  </w:t>
        <w:br/>
        <w:t xml:space="preserve">1. PRODUCT MARKETS  </w:t>
        <w:br/>
        <w:t xml:space="preserve">8. In the sector of retail distribution with a food focus, companies are present, as buyers, in the  </w:t>
        <w:br/>
        <w:t xml:space="preserve">upstream supply markets, which include the sale of consumer goods by producers to customers such  </w:t>
        <w:br/>
        <w:t xml:space="preserve">as wholesalers, retailers (food hypermarkets, hereinafter, "GSA," and large specialized surfaces,  </w:t>
        <w:br/>
        <w:t xml:space="preserve">hereinafter, "GSS") or other businesses (for example, cafés/hotels/restaurants).  </w:t>
        <w:br/>
        <w:t xml:space="preserve">9. Competition authorities usually distinguish as many markets as there are families or groups of  </w:t>
        <w:br/>
        <w:t xml:space="preserve">products. The following categories have thus been distinguished:  </w:t>
        <w:br/>
        <w:t xml:space="preserve">− Fast-moving consumer goods: (1) liquids, (2) drugstore, (3) perfumery and hygiene, (4) dry  </w:t>
        <w:br/>
        <w:t xml:space="preserve">grocery, (5) parapharmacy, (6) perishable goods in self-service;  </w:t>
        <w:br/>
        <w:t xml:space="preserve">− Traditional fresh: (7) delicatessen, (8) fishmonger, (9) fruits and vegetables, (10) fresh bread and  </w:t>
        <w:br/>
        <w:t xml:space="preserve">pastry, (11) butcher;  </w:t>
        <w:br/>
        <w:t xml:space="preserve">− Bazaar: (12) DIY, (13) home, (14) culture, (15) toys, leisure and relaxation, (16) garden,  </w:t>
        <w:br/>
        <w:t xml:space="preserve">(17) automotive;  </w:t>
        <w:br/>
        <w:t xml:space="preserve">− Household appliances, photo, cinema and sound: (18) large household appliances, (19) small  </w:t>
        <w:br/>
        <w:t xml:space="preserve">household appliances, (20) photo and cinema, (21) hi-fi and sound, (22) TV and video;  </w:t>
        <w:br/>
        <w:t xml:space="preserve">− Textiles: (23) textiles and shoes.  </w:t>
        <w:br/>
        <w:t xml:space="preserve">10. The European Commission has also considered segmentation based on distribution channels. In its  </w:t>
        <w:br/>
        <w:t xml:space="preserve">Carrefour/Promodès decision, it notes that "there are serious indications to suggest that certain supply  </w:t>
        <w:br/>
        <w:t xml:space="preserve">markets can also be defined based on distribution channels, such that the supply of the retail sector with  </w:t>
        <w:br/>
        <w:t xml:space="preserve">a food focus could constitute a separate market." The Competition Authority has also identified a  </w:t>
        <w:br/>
        <w:t xml:space="preserve">distinct market for the supply of food products intended for GSAs.  </w:t>
        <w:br/>
        <w:t xml:space="preserve">11. Furthermore, within this channel, the Competition Authority has considered a sub-segmentation  </w:t>
        <w:br/>
        <w:t xml:space="preserve">based on the commercial positioning of the product (supplier brand or "MDF," distributor brand or  </w:t>
        <w:br/>
        <w:t xml:space="preserve">"MDD").  </w:t>
        <w:br/>
        <w:t xml:space="preserve">12. In this case, the parties are simultaneously active as buyers for the supply of their GSAs. Moreover,  </w:t>
        <w:br/>
        <w:t xml:space="preserve">GBH is active in these markets for the supply of its GSS, as well as for its activities as a wholesale importer  </w:t>
        <w:br/>
        <w:t xml:space="preserve">and purchasing center. Finally, GBH is also active, upstream of these markets, as a supplier in the  </w:t>
        <w:br/>
        <w:t>liquids supply segment as a rum producer.</w:t>
      </w:r>
    </w:p>
    <w:p>
      <w:r>
        <w:t xml:space="preserve">2. GEOGRAPHIC MARKETS  </w:t>
        <w:br/>
        <w:t xml:space="preserve">13. Competition authorities consider that the geographical definition of supply markets is essentially  </w:t>
        <w:br/>
        <w:t xml:space="preserve">national, while not excluding that, for certain categories of products, the market dimension may, in  </w:t>
        <w:br/>
        <w:t>part, be narrower.</w:t>
      </w:r>
    </w:p>
    <w:p>
      <w:r>
        <w:rPr>
          <w:b/>
        </w:rPr>
        <w:t>[Pages 4–6]</w:t>
      </w:r>
    </w:p>
    <w:p>
      <w:r>
        <w:t>14. With regard to the overseas departments and regions (hereinafter, "DROM"), the Competition Authority emphasized the specific nature of the supply chains for consumer goods and its effects on the competitive balance of the relevant markets. Furthermore, part of the supply for retail chains with a food focus comes from local producers, in order to cater to local tastes and eating habits, as well as to limit import costs, including maritime freight and customs duties. The geographic markets for supply could therefore be limited to each DROM, on the one hand, and to the Antilles-Guyane area, on the other hand.</w:t>
      </w:r>
    </w:p>
    <w:p>
      <w:r>
        <w:t>15. In this case, the parties are simultaneously active in the Antilles-Guyane area and, more specifically, in Guyana.</w:t>
      </w:r>
    </w:p>
    <w:p>
      <w:r>
        <w:t>B. WHOLESALE MARKETS FOR FOOD AND NON-FOOD PRODUCTS DESTINED FOR GSA</w:t>
      </w:r>
    </w:p>
    <w:p>
      <w:r>
        <w:t>1. PRODUCT MARKETS</w:t>
      </w:r>
    </w:p>
    <w:p>
      <w:r>
        <w:t>16. Due in particular to the strong specialization of wholesale importers in the DROM, the Competition Authority has adopted a segmentation of the wholesale markets for food and non-food products destined for GSA by major product families (beverages, fresh products, dry products, frozen products, perishable products in self-service, drugstore-cosmetics-hygiene, etc.).</w:t>
      </w:r>
    </w:p>
    <w:p>
      <w:r>
        <w:t>17. In terms of GBH's wholesale-importer activity and the simultaneous presence of the parties in the downstream markets for retail distribution with a food focus, the vertical effects of the operation will be examined in these markets.</w:t>
      </w:r>
    </w:p>
    <w:p>
      <w:r>
        <w:t>2. GEOGRAPHIC MARKETS</w:t>
      </w:r>
    </w:p>
    <w:p>
      <w:r>
        <w:t>18. The specificity of this supply chain and its essential role in supplying domestic GSA argue for a wholesale market for food and non-food products to be recognized for each DROM.</w:t>
      </w:r>
    </w:p>
    <w:p>
      <w:r>
        <w:t>19. In this case, the competitive analysis will be conducted at the level of Guyana.</w:t>
      </w:r>
    </w:p>
    <w:p>
      <w:r>
        <w:t>C. DOWNSTREAM MARKETS FOR RETAIL DISTRIBUTION WITH A FOOD FOCUS</w:t>
      </w:r>
    </w:p>
    <w:p>
      <w:r>
        <w:t>1. PRODUCT MARKETS</w:t>
      </w:r>
    </w:p>
    <w:p>
      <w:r>
        <w:t>20. The Competition Authority has distinguished six categories of commerce using several criteria, including store size, sales techniques, accessibility, the nature of the service provided, and the range of products offered: (i) hypermarkets (sales area over 2,500 m²), (ii) supermarkets (between 400 and 2,500 m²), (iii) specialized trade, (iv) small retail stores or convenience stores (less than 400 m²), (v) discount stores, and (vi) mail order sales.</w:t>
      </w:r>
    </w:p>
    <w:p>
      <w:r>
        <w:t>21. In this case, the target store, which has a sales area of 1,850 m², falls into the category of supermarkets.</w:t>
      </w:r>
    </w:p>
    <w:p>
      <w:r>
        <w:t>2. GEOGRAPHIC MARKETS</w:t>
      </w:r>
    </w:p>
    <w:p>
      <w:r>
        <w:t>22. Since the target store is a supermarket, the competitive analysis is conducted based on a catchment area corresponding to the market where consumer demand meets the supply of supermarkets and equivalent forms of commerce, located within approximately 15 minutes of driving time. These latter forms of commerce may include, in addition to supermarkets, hypermarkets located near consumers and discount stores.</w:t>
      </w:r>
    </w:p>
    <w:p>
      <w:r>
        <w:t>23. However, other criteria may be taken into account to assess the impact of a concentration on the competitive situation in the retail distribution markets, which may lead to refining the usual delineations in isochrone zones, such as the analysis of actual consumer behavior (surveys, diversion ratio calculations) and the actual footprints of the target stores.</w:t>
      </w:r>
    </w:p>
    <w:p>
      <w:r>
        <w:t>24. In this case, the competitive analysis will be conducted on a market including hypermarkets, supermarkets, and discount stores located within a 15-minute driving radius from the target store.</w:t>
      </w:r>
    </w:p>
    <w:p>
      <w:r>
        <w:t>III. Competitive Analysis</w:t>
      </w:r>
    </w:p>
    <w:p>
      <w:r>
        <w:t>A. ANALYSIS OF HORIZONTAL EFFECTS</w:t>
      </w:r>
    </w:p>
    <w:p>
      <w:r>
        <w:t>1. UPSTREAM SUPPLY MARKETS</w:t>
      </w:r>
    </w:p>
    <w:p>
      <w:r>
        <w:t>a) At the national level</w:t>
      </w:r>
    </w:p>
    <w:p>
      <w:r>
        <w:t>25. In the upstream supply markets, the operation, which concerns the change of control of a single unbranded store, is not likely to significantly strengthen GBH's purchasing power (Carrefour brand), across all products or by product family or group.</w:t>
      </w:r>
    </w:p>
    <w:p>
      <w:r>
        <w:t>26. In the GSA channel, GBH is present both for the supply of its 25 food-focused stores as well as through its wholesale-importer activity, via several subsidiaries established in Martinique, Guadeloupe, Guyana, and Réunion, and its own purchasing center in mainland France, Bamappro.</w:t>
      </w:r>
    </w:p>
    <w:p>
      <w:r>
        <w:t>27. The strengthening of its purchasing power due to the operation remains limited, as the purchasing share of the target hypermarket represents less than [0-5]% of total supplies in France. In any event, following the operation, regardless of the segmentation considered, GBH's purchasing share will remain below 1% in these markets.</w:t>
      </w:r>
    </w:p>
    <w:p>
      <w:r>
        <w:t>28. If we consider the upstream supply market for private label "Carrefour" products from the brand's purchasing center, the operation is also not likely to significantly strengthen GBH's purchasing power. Indeed, in 2016, the amount of purchases of the target hypermarket in private label products (U) represented [0-5]% of its total purchases, and its sales of private label products did not exceed [5-10]% of its total sales. GBH stores achieve [5-10]% of their sales with private label products (Carrefour). If the target maintained this sales ratio in Carrefour private label products, it would only marginally strengthen GBH's weight in the purchases of Carrefour private label products, of which it represents a negligible share. Moreover, as the Competition Authority pointed out in 2009, it should be noted the limited role played by private label products in the competitive dynamics of domestic markets.</w:t>
      </w:r>
    </w:p>
    <w:p>
      <w:r>
        <w:t>b) At the local level</w:t>
      </w:r>
    </w:p>
    <w:p>
      <w:r>
        <w:t>29. Across all distribution channels, the market shares of the new entity in the upstream supply markets, as a buyer, are below 25%, regardless of the product families and groups and the geographical delineation retained.</w:t>
      </w:r>
    </w:p>
    <w:p>
      <w:r>
        <w:t>30. Specifically regarding the supply of GSA, the new entity will hold an estimated overall market share of [10-20]% ([10-20]% for GBH; [0-5]% for the target).</w:t>
      </w:r>
    </w:p>
    <w:p>
      <w:r>
        <w:rPr>
          <w:b/>
        </w:rPr>
        <w:t>[Pages 7–9]</w:t>
      </w:r>
    </w:p>
    <w:p>
      <w:r>
        <w:t>target supermarket) in French Guiana and at [10-20]% ([10-20]% for GBH; [0-5]% for the target supermarket) in the Antilles-Guyane area.</w:t>
      </w:r>
    </w:p>
    <w:p>
      <w:r>
        <w:t>31. In accordance with the proposed market delineations, it is also necessary to examine whether the operation is likely to strengthen GBH's purchasing power by product families and groups.</w:t>
      </w:r>
    </w:p>
    <w:p>
      <w:r>
        <w:t>32. In the Antilles-Guyane area and in French Guiana, the market shares of the new entity are systematically below 25% for each family and group of products, with the exception of the supply of hi-fi sound products in the Antilles-Guyane area ([30-40]%16) and in charcuterie in French Guiana ([30-40]%17). However, these cumulative market shares remain limited.</w:t>
      </w:r>
    </w:p>
    <w:p>
      <w:r>
        <w:t>33. This strengthening, even if limited, of GBH's purchasing power at the local level occurs in markets where the supply sector is much less concentrated than the demand sector and may therefore have the effect of placing suppliers of the parties in a situation of economic dependence.</w:t>
      </w:r>
    </w:p>
    <w:p>
      <w:r>
        <w:t>34. The notifying party has identified the suppliers common to the parties, as they are the most likely to see their business flow increase with the new entity and thus be placed in a situation of economic dependence due to the operation. The risk of economic dependence is assessed in particular with regard to the share that a market represents in the supplier's total sales. Competition authorities consider that there is a "threshold of threat" beyond which the survival of the manufacturer may be called into question, the potential disappearance of this market pushing, in the short or medium term, the supplier into a difficult financial situation, even towards bankruptcy. However, the level of this threshold is not fixed and depends on a large number of specific parameters according to the sectors concerned, the structure and financial situation of the companies, the existence and cost of potential alternative solutions18.</w:t>
      </w:r>
    </w:p>
    <w:p>
      <w:r>
        <w:t>35. When examining a concentration operation in the retail distribution sector with a food focus19, the European Commission estimated the threshold at 22% beyond which a producer cannot replace the loss of a customer without incurring significant financial losses, knowing that switching to other distribution channels (such as GSS) can prove difficult, costly, or even impossible.</w:t>
      </w:r>
    </w:p>
    <w:p>
      <w:r>
        <w:t>36. In this case, no evidence collected during this investigation has allowed for a deviation from this level of threat threshold, as the small size of the territory of French Guiana further limits the search for new markets for local suppliers.</w:t>
      </w:r>
    </w:p>
    <w:p>
      <w:r>
        <w:t>37. According to the analysis conducted by GBH20, a local producer and two wholesalers currently achieve more than [20-30]% of their sales with the new entity:</w:t>
        <w:br/>
        <w:t>16 GBH: [10-20]%; target supermarket: [10-20]%.</w:t>
        <w:br/>
        <w:t>17 GBH: [10-20]%; target supermarket: [20-30]%.</w:t>
        <w:br/>
        <w:t>18 See the guidelines of the Competition Authority regarding the control of concentrations, paragraphs 447 to 452.</w:t>
        <w:br/>
        <w:t>19 See decision M.1221, cited above.</w:t>
        <w:br/>
        <w:t>20 This analysis is based on statements from local suppliers and wholesalers collected by GBH. Only six local producers out of […] responded. 24 wholesalers out of […] also responded.</w:t>
      </w:r>
    </w:p>
    <w:p>
      <w:r>
        <w:t>Local Producer Share of Sales Share of Sales Share of Sales</w:t>
        <w:br/>
        <w:t>to the to GBH to the</w:t>
        <w:br/>
        <w:t>target supermarket new entity</w:t>
        <w:br/>
        <w:t>[Confidential] [0-5]% [20-30]% [20-30]%</w:t>
        <w:br/>
        <w:t>Wholesalers Share of Sales Share of Sales Share of Sales</w:t>
        <w:br/>
        <w:t>to the to GBH to the</w:t>
        <w:br/>
        <w:t>target supermarket new entity</w:t>
        <w:br/>
        <w:t>[Confidential] [20-30]% [0-5]% [20-30]%</w:t>
        <w:br/>
        <w:t>[Confidential] [0-5]% [30-40]% [30-40]%</w:t>
      </w:r>
    </w:p>
    <w:p>
      <w:r>
        <w:t>38. It should be noted that the increment resulting from the operation is limited, as these third parties achieved less than [5-10]% of their turnover with either party before the operation. Therefore, the latter does not create a situation of economic dependence for these suppliers.</w:t>
      </w:r>
    </w:p>
    <w:p>
      <w:r>
        <w:t>39. In any event, as noted by the Competition Council in its opinion of 199721, in the event that a concentration operation results in placing one or a small number of suppliers in a situation of economic dependence on the new company resulting from the concentration, this circumstance alone would be insufficient to justify a prohibition or a challenge to the operation; it could only constitute one element among others in the economic assessment. The consideration of individual cases of abuse of economic dependence falls, as recalled by the Competition Authority in its 2015 opinion on purchasing centers22, under the competence of the DGCCRF regarding the rules on restrictive commercial practices, and in particular Article L. 442-6 of the Commercial Code, as well as the repression of anti-competitive practices by the Competition Authority based on Article L. 420-2 paragraph 2 of the Commercial Code concerning the abuse of economic dependence.</w:t>
      </w:r>
    </w:p>
    <w:p>
      <w:r>
        <w:t>40. Furthermore, as specified in the aforementioned guidelines, "in itself, economic dependence constitutes an infringement of competition only if it has an effect on competition in a market and, ultimately, on consumer surplus, and not simply on a supplier, insofar as the objective of the competition authorities is not to protect a company as such, whether it is a competitor, customer, or supplier"23.</w:t>
      </w:r>
    </w:p>
    <w:p>
      <w:r>
        <w:t>41. In this case, GBH's position as a buyer in upstream markets is only very slightly strengthened by the operation. The risk of creating economic dependence for the suppliers of the new entity, due to the strengthening of GBH's purchasing power following the operation, therefore appears limited.</w:t>
      </w:r>
    </w:p>
    <w:p>
      <w:r>
        <w:t>21 Opinion No. 97-A-04, cited above.</w:t>
        <w:br/>
        <w:t>22 Opinion No. 15-A-06, cited above.</w:t>
        <w:br/>
        <w:t>23 The aforementioned guidelines, paragraph 502.</w:t>
      </w:r>
    </w:p>
    <w:p>
      <w:r>
        <w:t>2. DOWNSTREAM MARKET FOR RETAIL DISTRIBUTION WITH A FOOD FOCUS</w:t>
      </w:r>
    </w:p>
    <w:p>
      <w:r>
        <w:t>42. In the 15-minute area defined around the target supermarket24, the following stores are present:</w:t>
      </w:r>
    </w:p>
    <w:p>
      <w:r>
        <w:t>Brand Group Location Sales Area Market Share</w:t>
        <w:br/>
        <w:t>Hyper U Jan Du Cayenne 5,800 m² [20-30]%</w:t>
        <w:br/>
        <w:t>Carrefour GBH Matoury 5,000 m² [20-30]%</w:t>
        <w:br/>
        <w:t>Super NKT NG Kon Tia Cayenne 2,880 m² [10-20]%</w:t>
        <w:br/>
        <w:t>Super NKT NG Kon Tia Rémire Montjoly 1,850 m² [5-10]%</w:t>
        <w:br/>
        <w:t>Leader Price Fabre Matoury 1,700 m² [5-10]%</w:t>
        <w:br/>
        <w:t>Carrefour Market SAFO-GHD Rémire Monjoly 1,400 m² [5-10]%</w:t>
        <w:br/>
        <w:t>Leader Price Fabre Cayenne 1,093 m² [0-5]%</w:t>
        <w:br/>
        <w:t>Leader Price Fabre Cayenne 972 m² [0-5]%</w:t>
        <w:br/>
        <w:t>Leader Price Fabre Matoury 960 m² [0-5]%</w:t>
        <w:br/>
        <w:t>Leader Price Fabre Rémire Monjoly 945 m² [0-5]%</w:t>
        <w:br/>
        <w:t>Leader Price Fabre Cayenne 600 m² [0-5]%</w:t>
        <w:br/>
        <w:t>8 A Huit SAFO-GHD Cayenne 450 m² [0-5]%</w:t>
        <w:br/>
        <w:t>Express Market Loïc Lee Cayenne 440 m² [0-5]%</w:t>
        <w:br/>
        <w:t>Cayenne Store Independent Cayenne 430 m² [0-5]%</w:t>
      </w:r>
    </w:p>
    <w:p>
      <w:r>
        <w:t>43. It should be noted that the Leader Price stores, with a sales area of 1,700 m² located in Matoury, and with a sales area of 945 m² located in Rémire Montjoly, italicized in the table above, have been taken into account even though they were not open at the time of notification of this operation. Indeed, in accordance with the established decision-making practice of the Competition Authority in retail trade, stores that benefit from a decision of the departmental commercial development commission ("CDAC") that is free of any appeal must be taken into account if their opening is planned in the short term. In any case, the non-inclusion of these two stores does not alter the conclusions of the competitive analysis.</w:t>
      </w:r>
    </w:p>
    <w:p>
      <w:r>
        <w:t>44. Given these elements, GBH's estimated market share, following the operation, is [20-30]%, ahead of the Fabre groups ([20-30]%) and Jan Du ([20-30]%). The Authority also notes that the number of competing hypermarkets in the area is not changed by the operation (three) and that there will remain a significant number of supermarkets (nine, plus two that are set to open soon).</w:t>
      </w:r>
    </w:p>
    <w:p>
      <w:r>
        <w:t>24 Stores located on the edge of the area have been included in the scope of the competitive analysis, in accordance with the established decision-making practice of the Competition Authority in retail trade.</w:t>
      </w:r>
    </w:p>
    <w:p>
      <w:r>
        <w:rPr>
          <w:b/>
        </w:rPr>
        <w:t>[Pages 10–12]</w:t>
      </w:r>
    </w:p>
    <w:p>
      <w:r>
        <w:t>45. Furthermore, the operation does not result in the disappearance of a national brand from the large retail sector, as consumers in the examined area retain an unchanged choice among the three main national brands: Carrefour ([30-40] %)25, Leader Price ([20-30] %), and U ([20-30] %).</w:t>
      </w:r>
    </w:p>
    <w:p>
      <w:r>
        <w:t>46. In light of these elements, insofar as it does not create or significantly increase a substantial position in the examined area and does not lead to a reduction in the number of national brands present, the operation is not likely to generate horizontal effects on the relevant retail distribution market focused on food.</w:t>
      </w:r>
    </w:p>
    <w:p>
      <w:r>
        <w:t>B. ANALYSIS OF VERTICAL EFFECTS</w:t>
      </w:r>
    </w:p>
    <w:p>
      <w:r>
        <w:t>47. A vertical concentration may restrict competition by making it more difficult for competitors to access the markets in which the new entity will operate, potentially driving competitors out of the market or penalizing them through increased costs. This lock-in can target downstream markets when the integrated company refuses to sell an input to its competing distributors, or upstream markets when the downstream branch of the integrated company refuses to purchase products from manufacturers, thereby reducing their commercial outlets. However, the decision-making practice of competition authorities generally holds that a risk of vertical or conglomerate effects can be dismissed as long as the market share of the company resulting from the operation on the relevant markets does not exceed 30 %26.</w:t>
      </w:r>
    </w:p>
    <w:p>
      <w:r>
        <w:t>48. Since GBH is primarily present in the intermediate markets for wholesale distribution of food and non-food products27, it is necessary to examine the potential vertical effects that the acquisition of the target supermarket will entail.</w:t>
      </w:r>
    </w:p>
    <w:p>
      <w:r>
        <w:t>49. In addition to its downstream activity in the retail food distribution sector, GBH is also present in these markets in Guyana through its company Bamyrag.</w:t>
      </w:r>
    </w:p>
    <w:p>
      <w:r>
        <w:t>50. Through the wholesale supply channel for GSA, Bamyrag distributes, within the territory of Guyana, national brands related to the product groups "dry grocery" and, to a lesser extent, "DPH"28, "fresh bakery-pastry", "DIY", "garden", "parapharmacy", and "toys".</w:t>
      </w:r>
    </w:p>
    <w:p>
      <w:r>
        <w:t>51. Even though this operation concerns the acquisition of only one supermarket (1,850 m², representing [0-5] % of the sales areas of GSA in Guyana), it is necessary to assess whether GBH will be able to foreclose its competitors in the wholesale distribution markets for food and non-food products by depriving them of the outlet represented by the purchases of the target supermarket (locking access to customers). The analysis will also focus on GBH's ability, bolstered by its position in the wholesale distribution markets, to restrict the supply to its competing distributors or to degrade their pricing conditions or quality (foreclosure by inputs) in Guyana29.</w:t>
      </w:r>
    </w:p>
    <w:p>
      <w:r>
        <w:t>25 To the stores operated by GBH, it should be added the stores under the Carrefour Market and 8 A Huit banners.</w:t>
      </w:r>
    </w:p>
    <w:p>
      <w:r>
        <w:t>26 See the aforementioned guidelines, §§453 and 483.</w:t>
      </w:r>
    </w:p>
    <w:p>
      <w:r>
        <w:t>27 GBH is marginally active in the upstream market for the supply of liquid products in Guyana through the company Héritiers Clément, which produces rum and chocolate and makes sales in this territory amounting to […] euros in 2016. Since the target supermarket represents less than [0-5] % of liquid purchases in Guyana and in the Antilles-Guyane area, the operation is not likely to generate vertical effects on the relevant markets.</w:t>
      </w:r>
    </w:p>
    <w:p>
      <w:r>
        <w:t>28 Drugstore, perfumery, hygiene.</w:t>
      </w:r>
    </w:p>
    <w:p>
      <w:r>
        <w:t>29 See the aforementioned guidelines, §§444 and following and the Commission's communication on the assessment of non-horizontal concentrations.</w:t>
      </w:r>
    </w:p>
    <w:p>
      <w:r>
        <w:t>a) Customer Access Lock-in Effect</w:t>
      </w:r>
    </w:p>
    <w:p>
      <w:r>
        <w:t>52. In this case, GBH's competitors present at the wholesale supply stage of products, particularly food, in Guyana, could be deprived of the purchases currently made by the target supermarket and, potentially, be driven out of the market.</w:t>
      </w:r>
    </w:p>
    <w:p>
      <w:r>
        <w:t>53. First, GBH's position, following the operation, in the downstream markets of retail distribution focused on food across Guyana ([10-20] % of sales areas) is not such as to allow the group to adopt a lock-in strategy that would have a significant effect on the supply market, particularly with respect to competing wholesale-importers, and consequently makes the risk of eviction very unlikely. As recalled in paragraph 47 above, competition authorities maintain a threshold of 30 % market share below which a transaction is presumed not to harm competition through vertical effects.</w:t>
      </w:r>
    </w:p>
    <w:p>
      <w:r>
        <w:t>54. Considering the total purchasing potential of the target supermarket, including both local and national purchases, in value, confirms this analysis. The parties estimated the purchases of this store at approximately […] million euros, representing about [0-5] % of the total market for supply expenditures of GSA in Guyana. If we consider the purchase amount of the target supermarket from only wholesalers in Guyana, its purchase share in the local wholesale market for food and non-food products is less than [0-5]%, thus the increment is low.</w:t>
      </w:r>
    </w:p>
    <w:p>
      <w:r>
        <w:t>55. Therefore, the acquisition of the target supermarket is not likely to enable GBH to implement a lock-in strategy for outlets that would have a significant effect on the wholesale supply market, particularly with respect to competing wholesale-importers.</w:t>
      </w:r>
    </w:p>
    <w:p>
      <w:r>
        <w:t>b) Input Lock-in Effect</w:t>
      </w:r>
    </w:p>
    <w:p>
      <w:r>
        <w:t>56. In this case, the risk faced by GBH's competing distributors in the downstream market is that they may be disadvantaged, compared to the stores operated by GBH, in their relationships with GBH acting as a wholesaler.</w:t>
      </w:r>
    </w:p>
    <w:p>
      <w:r>
        <w:t>57. In a market for all products (including sales made by the company Bamappro, the purchasing center of GBH), GBH's market share in Guyana in the wholesale supply market for GSA is estimated at [5-10] %. This market share is also consistently below 25 %, regardless of the family or group of products examined.</w:t>
      </w:r>
    </w:p>
    <w:p>
      <w:r>
        <w:t>58. These market shares are therefore below the 30 % threshold, which presumes the absence of competition issues related to vertical integration. They also mean that GBH, in its capacity as a wholesaler, does not hold a decisive position in the wholesale distribution markets in Guyana.</w:t>
      </w:r>
    </w:p>
    <w:p>
      <w:r>
        <w:t>59. Furthermore, GBH's stores in Guyana, following the operation, will represent only a limited share of purchases from the company Bamyrag ([20-30] %), which will necessarily need to maintain outlets. Competing retail stores of GBH will therefore not be deprived of a significant source of supply following the operation.</w:t>
      </w:r>
    </w:p>
    <w:p>
      <w:r>
        <w:t>60. In light of these elements, the operation is not likely to harm competition through vertical effects.</w:t>
      </w:r>
    </w:p>
    <w:p>
      <w:r>
        <w:t>DECIDES</w:t>
      </w:r>
    </w:p>
    <w:p>
      <w:r>
        <w:t>Article one: The operation notified under number 18-200 is authorized.</w:t>
      </w:r>
    </w:p>
    <w:p>
      <w: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