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https://www.autoritedelaconcurrence.fr/fr/decision-de-controle-des-concentrations/relative-la-prise-de-controle-exclusif-de-la-societe-axel</w:t>
      </w:r>
    </w:p>
    <w:p>
      <w:r>
        <w:t>Pages translated : 2</w:t>
      </w:r>
    </w:p>
    <w:p/>
    <w:p>
      <w:r>
        <w:rPr>
          <w:b/>
        </w:rPr>
        <w:t>[Pages 1–2]</w:t>
      </w:r>
    </w:p>
    <w:p>
      <w:r>
        <w:t>FRENCH REPUBLIC</w:t>
        <w:br/>
        <w:t>Decision No. 25-DCC-63 of March 17, 2025</w:t>
        <w:br/>
        <w:t>regarding the exclusive control acquisition of Axel Springer SE</w:t>
        <w:br/>
        <w:t>by Mr. Mathias Döpfner</w:t>
        <w:br/>
        <w:t>The Competition Authority,</w:t>
        <w:br/>
        <w:t>Having regard to the complete notification file sent to the mergers department on February 26, 2025,</w:t>
        <w:br/>
        <w:t>concerning the exclusive control acquisition of Axel Springer SE by Mr. Mathias Döpfner,</w:t>
        <w:br/>
        <w:t>formalized by a term sheet related to the proposed restructuring of the Axel Springer group signed</w:t>
        <w:br/>
        <w:t>on July 23, 2024, and supplemented by several agreements;</w:t>
        <w:br/>
        <w:t>Having regard to Book IV of the Commercial Code relating to the freedom of prices and competition, and</w:t>
        <w:br/>
        <w:t>notably its Articles L. 430-1 to L. 430-7;</w:t>
        <w:br/>
        <w:t>Adopts the following decision:</w:t>
        <w:br/>
        <w:t>1. The notified operation consists of the acquisition by Mr. Mathias Döpfner of exclusive control of</w:t>
        <w:br/>
        <w:t>Axel Springer SE, of which he held joint control, following a restructuring operation. The proposed new structure provides that the media activity of the Axel Springer group will remain within Axel Springer SE and that the classified ads activities will become autonomous joint companies that will remain under the joint control of Mathias Döpfner, KKR, and the Canada Pension Plan Investment Board. The operation constitutes a concentration within the meaning of Article L. 430-1 of the Commercial Code. Given the revenues generated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25-054 is authorized.</w:t>
        <w:br/>
        <w:t>The Vice-President,</w:t>
        <w:br/>
        <w:t>Thibaud Vergé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