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https://www.autoritedelaconcurrence.fr/fr/decision-de-controle-des-concentrations/relative-la-prise-de-controle-exclusif-de-la-societe-axone</w:t>
      </w:r>
    </w:p>
    <w:p>
      <w:r>
        <w:t>Pages translated : 2</w:t>
      </w:r>
    </w:p>
    <w:p/>
    <w:p>
      <w:r>
        <w:rPr>
          <w:b/>
        </w:rPr>
        <w:t>[Pages 1–2]</w:t>
      </w:r>
    </w:p>
    <w:p>
      <w:r>
        <w:t>FRENCH REPUBLIC</w:t>
        <w:br/>
        <w:t>Decision No. 18-DCC-111 of July 9, 2018</w:t>
        <w:br/>
        <w:t>regarding the exclusive control acquisition of the company Axone Automobiles SAS by the company Volkswagen Group Retail France SAS</w:t>
        <w:br/>
        <w:t>The Competition Authority,</w:t>
        <w:br/>
        <w:t>Having regard to the complete notification file sent to the mergers department on June 6, 2018, concerning the exclusive control acquisition of the company Axone Automobiles by the company Volkswagen Group Retail France, materialized by a letter of intent dated May 3, 2018;</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company Volkswagen Group Retail France SAS of the company Axone Automobiles SAS, which operates a car dealership for Volkswagen and Skoda brands in the department of Paris (75). It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18-110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