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https://www.autoritedelaconcurrence.fr/fr/decision-de-controle-des-concentrations/relative-la-prise-de-controle-exclusif-de-la-societe-axxia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26-DCC-49 of February 10, 2026  </w:t>
        <w:br/>
        <w:t xml:space="preserve">regarding the exclusive control acquisition of the company Axxia by the company  </w:t>
        <w:br/>
        <w:t xml:space="preserve">CDA Motors  </w:t>
        <w:br/>
        <w:t xml:space="preserve">The Competition Authority,  </w:t>
        <w:br/>
        <w:t xml:space="preserve">Having regard to the complete notification file sent to the mergers department on January 23, 2026,  </w:t>
        <w:br/>
        <w:t xml:space="preserve">concerning the exclusive control acquisition of the company Axxia by the company CDA Motors, formalized  </w:t>
        <w:br/>
        <w:t xml:space="preserve">by a purchase offer dated December 19,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CDA Motors of the  </w:t>
        <w:br/>
        <w:t xml:space="preserve">company Axxia, which operates car dealerships under the BMW and Mini brands,  </w:t>
        <w:br/>
        <w:t xml:space="preserve">located in Bourges (18), Nevers (58), and Châteauroux (36). This operation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26-028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