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https://www.autoritedelaconcurrence.fr/fr/decision-de-controle-des-concentrations/relative-la-prise-de-controle-exclusif-de-la-societe-azenn</w:t>
      </w:r>
    </w:p>
    <w:p>
      <w:r>
        <w:t>Pages translated : 2</w:t>
      </w:r>
    </w:p>
    <w:p/>
    <w:p>
      <w:r>
        <w:rPr>
          <w:b/>
        </w:rPr>
        <w:t>[Pages 1–2]</w:t>
      </w:r>
    </w:p>
    <w:p>
      <w:r>
        <w:t xml:space="preserve">FRENCH REPUBLIC  </w:t>
        <w:br/>
        <w:t xml:space="preserve">Decision No. 21-DCC-84 of May 28, 2021  </w:t>
        <w:br/>
        <w:t xml:space="preserve">regarding the exclusive control acquisition of the company Azenn by the DCC group  </w:t>
        <w:br/>
        <w:t xml:space="preserve">The Competition Authority,  </w:t>
        <w:br/>
        <w:t xml:space="preserve">Having regard to the complete notification file submitted to the mergers department on May 10, 2021,  </w:t>
        <w:br/>
        <w:t xml:space="preserve">concerning the exclusive control acquisition of the company Azenn by the DCC group, formalized by a  </w:t>
        <w:br/>
        <w:t xml:space="preserve">share purchase agreement dated May 7,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Azenn Holding  </w:t>
        <w:br/>
        <w:t xml:space="preserve">Développement, sole partner of SAS Azenn, by Financière CG, SAS indirectly 100% controlled by the company DCC plc, parent company of the DCC group. Both parties are active in the distribution of information and communication technology products.  </w:t>
        <w:br/>
        <w:t xml:space="preserve">2. The operation constitutes a concentration operation within the meaning of Article L. 430-1 of the Commercial Code. Given the turnover generated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 xml:space="preserve">3. In light of the elements of the file, the operation is not likely to harm competition in the relevant markets.  </w:t>
        <w:br/>
        <w:t>1 DCC is active in this market through its subsidiary Câblage Universel Connexion SAS, known by the trade name Exertis Connect.</w:t>
      </w:r>
    </w:p>
    <w:p>
      <w:r>
        <w:t xml:space="preserve">DECIDES  </w:t>
        <w:br/>
        <w:t xml:space="preserve">Sole Article: The operation notified under number 21-055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