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https://www.autoritedelaconcurrence.fr/fr/decision-de-controle-des-concentrations/relative-la-prise-de-controle-exclusif-de-la-societe-bamazo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26-DCC-134 of June 11, 2026  </w:t>
        <w:br/>
        <w:t xml:space="preserve">regarding the exclusive control acquisition of the company Bamazo by the  </w:t>
        <w:br/>
        <w:t xml:space="preserve">Société d’Exploitation Amidis et Compagnie (Carrefour group)  </w:t>
        <w:br/>
        <w:t xml:space="preserve">The Competition Authority,  </w:t>
        <w:br/>
        <w:t xml:space="preserve">Having regard to the complete notification file sent to the mergers department on May 20, 2026,  </w:t>
        <w:br/>
        <w:t xml:space="preserve">concerning the exclusive control acquisition of the company Bamazo by the Société d’Exploitation Amidis  </w:t>
        <w:br/>
        <w:t xml:space="preserve">et Compagnie, formalized by a transfer promise signed on April 8, 2026;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Société d’Exploitation Amidis et  </w:t>
        <w:br/>
        <w:t xml:space="preserve">Compagnie, a 100% subsidiary of the Carrefour group, of 50% of the capital of the company Bamazo, of which  </w:t>
        <w:br/>
        <w:t xml:space="preserve">it already held half. The company Bamazo owns the business assets of a store operated under the Carrefour Market brand in Saint-Julien-de-Concelles (44), with a sales area of 2,500 m². The operation constitutes a concentration within the meaning of Article  </w:t>
        <w:br/>
        <w:t xml:space="preserve">L. 430-1 of the Commercial Code. Given the turnover achieved by the companies involved, the operation does not fall under the jurisdiction of the European Union. However,  </w:t>
        <w:br/>
        <w:t xml:space="preserve">the control thresholds mentioned in II of Article L. 430-2 of the Commercial Code are exceeded.  </w:t>
        <w:br/>
        <w:t xml:space="preserve">This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26-119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