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https://www.autoritedelaconcurrence.fr/fr/decision-de-controle-des-concentrations/relative-la-prise-de-controle-exclusif-de-la-societe-banque</w:t>
      </w:r>
    </w:p>
    <w:p>
      <w:r>
        <w:t>Pages translated : 3</w:t>
      </w:r>
    </w:p>
    <w:p/>
    <w:p>
      <w:r>
        <w:rPr>
          <w:b/>
        </w:rPr>
        <w:t>[Pages 1–3]</w:t>
      </w:r>
    </w:p>
    <w:p>
      <w:r>
        <w:t xml:space="preserve">FRENCH REPUBLIC  </w:t>
        <w:br/>
        <w:t xml:space="preserve">Decision No. 13-DCC-31 of March 12, 2013  </w:t>
        <w:br/>
        <w:t xml:space="preserve">regarding the exclusive control  </w:t>
        <w:br/>
        <w:t xml:space="preserve">of the company Banque Privée Européenne by La Banque Postale  </w:t>
        <w:br/>
        <w:t xml:space="preserve">The Competition Authority,  </w:t>
        <w:br/>
        <w:t xml:space="preserve">Having regard to the notification file submitted in full to the merger service on February 6, 2013, regarding the exclusive control of the company Banque Privée Européenne by the La Banque Postale group, formalized by a share transfer agreement signed on December 4, 2012;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La Banque Postale group (hereinafter "LBP") is a banking group, a subsidiary of the La Poste group, created on January 1, 2006, active in the banking sectors (with retail banking and asset management activities) and insurance. LBP is 100% owned by the La Poste Group, whose parent company, La Poste SA, has been jointly controlled since February 2011 by the French State (77.1%) and the Caisse des Dépôts et Consignations (22.9%)1.  </w:t>
        <w:br/>
        <w:t xml:space="preserve">2. The company Banque Privée Européenne (hereinafter "BPE") is a subsidiary of the Crédit Mutuel Arkéa group offering a complete banking service aimed at affluent and wealthy individuals (interest-bearing checking accounts, life insurance, banking and financial savings, mortgage loans). BPE also offers wealth management services. BPE has a national network of 31 agencies located in the largest cities in France.  </w:t>
        <w:br/>
        <w:t>1 See the decision of the Competition Authority No. 11-DCC-32 of February 22, 2011, regarding the joint control of the La Poste group by the Caisse des Dépôts et Consignations and the French State.</w:t>
      </w:r>
    </w:p>
    <w:p>
      <w:r>
        <w:t xml:space="preserve">3. On December 4, 2013, the parties signed a share transfer agreement whereby the LBP group undertakes to acquire all the capital and voting rights of BPE. As it results in the exclusive control of the company BPE by the LBP group, the notified operation constitutes a concentration within the meaning of Article L. 430-1 of the Commercial Code.  </w:t>
        <w:br/>
        <w:t xml:space="preserve">4. The companies concerned together achieved a consolidated worldwide turnover excluding taxes of more than 150 million euros in the last closed financial year (La Poste Group: 21.3 billion euros for the financial year ended December 31, 2011; BPE: 133.6 million euros for the same financial year). At least two of these companies achieve a turnover in France exceeding 50 million euros (La Poste Group: 18.17 billion euros for the financial year ended December 31, 2009; BPE: 133.6 million euros for the same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LBP and BPE are simultaneously active, within the banking sector, in the private banking market.  </w:t>
        <w:br/>
        <w:t xml:space="preserve">A. THE PRIVATE BANKING MARKET  </w:t>
        <w:br/>
        <w:t xml:space="preserve">6. European and national decision-making practice traditionally distinguishes three categories of banking services: retail banking services (retail banking), business banking services (commercial banking), and operations on financial markets (investment banking). Furthermore, national and community competition authorities consider that these three categories of services can be subdivided into numerous specific services.  </w:t>
        <w:br/>
        <w:t xml:space="preserve">7. Decision-making practice has thus considered that there is a distinct market for private banking, which constitutes one of the activity segments of retail banking and can be defined as a comprehensive retail banking service reserved for a wealthy clientele (high-end financial services aimed at affluent individuals seeking financial and tax advice as well as personalized portfolio management)2.  </w:t>
        <w:br/>
        <w:t xml:space="preserve">8. The operation entails overlaps in activity solely in the private banking market.  </w:t>
        <w:br/>
        <w:t>2 See the decision of the Minister C2006-45 / Letter from the Minister of Economy, Finance and Industry dated August 10, 2006, to the councils of the Caisse Nationale des Caisses d’Épargne and the Banque Fédérale des Banques Populaires, regarding a concentration in the banking services sector, published in BOCCRF No. 7 bis of September 15, 2006, the decision of the Competition Authority No. 09-DCC-16 of June 22, 2009, regarding the merger between the Caisse d’Épargne and Banque Populaire groups, as well as the decision of the European Commission COMP/M.4844 – Fortis/ABN Amro Assets of October 3, 2007.</w:t>
      </w:r>
    </w:p>
    <w:p>
      <w:r>
        <w:t xml:space="preserve">B. GEOGRAPHICAL DELIMITATION  </w:t>
        <w:br/>
        <w:t xml:space="preserve">9. Competition authorities traditionally consider that the private banking market is of national dimension3.  </w:t>
        <w:br/>
        <w:t xml:space="preserve">III. Competitive analysis  </w:t>
        <w:br/>
        <w:t xml:space="preserve">10. Following the operation, BPE will manage approximately […] billion in assets in a market estimated by the notifying party at 1,550 billion euros. Its market share will therefore be less than [0-5]%. The notifying party further indicates that LBP's activities in private banking are very limited to date, with LBP offering affluent or wealthy clients only a very incomplete range of services. In any case, the assets managed represent less than [0-5]% of the market.  </w:t>
        <w:br/>
        <w:t xml:space="preserve">11. The main competitors of the entity resulting from the concentration are the large French retail banks, led by BNP Paribas, Société Générale, Crédit Agricole, LCL, and Crédit Mutuel CIC. Independent private banks such as Barclays, HSBC, Rothschild, ABN Amro, Crédit Suisse, Pictet, and JP Morgan are also involved.  </w:t>
        <w:br/>
        <w:t xml:space="preserve">12. Consequently, the operation is not likely to harm competition through horizontal effects.  </w:t>
        <w:br/>
        <w:t xml:space="preserve">DECIDES  </w:t>
        <w:br/>
        <w:t xml:space="preserve">Single Article: The operation notified under number 12-216 is authorized.  </w:t>
        <w:br/>
        <w:t xml:space="preserve">The President,  </w:t>
        <w:br/>
        <w:t xml:space="preserve">Bruno Lasserre  </w:t>
        <w:br/>
        <w:t xml:space="preserve">© Competition Authority  </w:t>
        <w:br/>
        <w:t>3 See in particular the decision of the Minister No. C2006-45, cited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