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https://www.autoritedelaconcurrence.fr/fr/decision-de-controle-des-concentrations/relative-la-prise-de-controle-exclusif-de-la-societe-bartin</w:t>
      </w:r>
    </w:p>
    <w:p>
      <w:r>
        <w:t>Pages translated : 8</w:t>
      </w:r>
    </w:p>
    <w:p/>
    <w:p>
      <w:r>
        <w:rPr>
          <w:b/>
        </w:rPr>
        <w:t>[Pages 1–3]</w:t>
      </w:r>
    </w:p>
    <w:p>
      <w:r>
        <w:t xml:space="preserve">FRENCH REPUBLIC  </w:t>
        <w:br/>
        <w:t xml:space="preserve">Decision No. 16-DCC-158 of October 28, 2016  </w:t>
        <w:br/>
        <w:t>regarding the exclusive control of Bartin Recycling by Derichebourg SA</w:t>
      </w:r>
    </w:p>
    <w:p>
      <w:r>
        <w:t xml:space="preserve">The Competition Authority,  </w:t>
        <w:br/>
        <w:t xml:space="preserve">Having regard to the notification file submitted in full to the merger service on September 30, 2016, regarding the exclusive control of Bartin Recycling by Derichebourg SA, formalized by a share purchase agreement signed on July 20,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Derichebourg SA (hereinafter, "Derichebourg") is the holding company of the Derichebourg group, which offers services to businesses and local authorities primarily in the environmental sector. Derichebourg is active in the waste recycling sector, mainly metallic waste, from collection to recovery, as well as in the sector of services to businesses and local authorities (cleaning, temporary work, energy, support and aeronautical logistics, and services in sensitive environments).  </w:t>
        <w:br/>
        <w:t xml:space="preserve">2. Bartin Recycling (hereinafter, "Bartin") is a company active in the collection and recovery of ferrous and non-ferrous metals, and ordinary business waste. It is controlled by the company Véolia Déconstruction, a subsidiary of the Véolia group, which is active in water, waste, and energy management. Bartin has nineteen sites spread across eleven departments.  </w:t>
        <w:br/>
        <w:t>3. The operation, formalized by a share acquisition agreement signed on July 20, 2016, aims at the acquisition by Derichebourg of the entire capital of Bartin. Insofar as it results in the exclusive control of Bartin by Derichebourg, the operation constitutes a concentration within the meaning of Article L. 430-1 of the Commercial Code.</w:t>
      </w:r>
    </w:p>
    <w:p>
      <w:r>
        <w:t>4. The companies concerned together achieve a total worldwide turnover excluding taxes of more than 150 million euros (Derichebourg: 2.44 billion euros for the fiscal year ending September 30, 2015; Bartin: [...] euros for the fiscal year ending December 31, 2015). Each of these companies has achieved in France a total turnover excluding taxes exceeding 50 million euros (Derichebourg: 1.9 billion euros for the fiscal year ending September 30, 2015; Bartin: [...] euros for the fiscal year ending December 31, 2015).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Waste can be defined as "any residue from a production, transformation, or use process, any substance, material, product, or more generally any movable property abandoned or that its holder intends to abandon."  </w:t>
        <w:br/>
        <w:t xml:space="preserve">6. Decision-making practice considers that waste management includes two stages: collection and treatment, with treatment consisting either of waste disposal or its recovery in a broad sense. Furthermore, the European Commission has distinguished within treatment a specific sorting activity.  </w:t>
        <w:br/>
        <w:t>7. In this case, the parties are simultaneously active in the markets for the collection, treatment, and recovery of waste.</w:t>
      </w:r>
    </w:p>
    <w:p>
      <w:r>
        <w:t xml:space="preserve">A. THE MARKETS FOR THE COLLECTION OF NON-HAZARDOUS WASTE  </w:t>
        <w:br/>
        <w:t xml:space="preserve">8. Decision-making practice distinguishes as many service markets as there are major types of waste: hazardous waste or special industrial waste, non-hazardous waste or ordinary waste, and specific waste (such as electrical and electronic equipment waste (D3E)).  </w:t>
        <w:br/>
        <w:t>9. In this case, the parties are simultaneously active in the markets for the collection and recovery of non-hazardous waste.</w:t>
      </w:r>
    </w:p>
    <w:p>
      <w:r>
        <w:t xml:space="preserve">1. SERVICE MARKETS  </w:t>
        <w:br/>
        <w:t xml:space="preserve">10. Non-hazardous waste is segmented between household and similar waste ("DMA") and ordinary business waste ("DBE") or ordinary industrial waste ("DIB"). The latter is subject to several types of collection: mixed collection, selective collection, single-material collection (metal, wood, plastic waste). Decision-making practice has, however, so far led to a comprehensive analysis of these different types of collection. Nevertheless, the majority of respondents to the market test conducted for the purposes of the investigation consider that it is necessary to distinguish a market for the collection of metal waste within single-material collection.  </w:t>
        <w:br/>
        <w:t>11. The question of the exact delimitation of these markets can, however, be left open as it has no impact on the conclusions of the competitive analysis.</w:t>
      </w:r>
    </w:p>
    <w:p>
      <w:r>
        <w:t xml:space="preserve">2. GEOGRAPHICAL MARKETS  </w:t>
        <w:br/>
        <w:t xml:space="preserve">12. Regarding the geographical delimitation of the market for the collection of non-hazardous waste, European decision-making practice has considered that it is of national dimension given the tender procedures used by public authorities or waste-producing companies.  </w:t>
        <w:br/>
        <w:t xml:space="preserve">13. However, concerning the market for the collection of DBE, the minister responsible for the economy noted that SMEs could be encouraged to choose a provider at the local level. In this regard, national decision-making practice considers that it may have an infranational dimension corresponding to collection areas that include at least one department and the neighboring departments. The results of the market test indicate that the dimension of this market would correspond to areas with a radius of 200 km around their collection sites.  </w:t>
        <w:br/>
        <w:t xml:space="preserve">14. In this case, the parties are simultaneously active in seventeen local collection areas including one department and the neighboring departments, as well as in nineteen areas with a radius of 200 km around Bartin's sites.  </w:t>
        <w:br/>
        <w:t>15. The question of the precise geographical dimension of these markets can, however, be left open as it has no impact on the conclusions of the competitive analysis.</w:t>
      </w:r>
    </w:p>
    <w:p>
      <w:r>
        <w:rPr>
          <w:b/>
        </w:rPr>
        <w:t>[Pages 4–6]</w:t>
      </w:r>
    </w:p>
    <w:p>
      <w:r>
        <w:t>B. THE MARKET FOR THE TREATMENT OF METALLIC WASTE USED IN THE PRODUCTION OF RECYCLED STEEL</w:t>
      </w:r>
    </w:p>
    <w:p>
      <w:r>
        <w:t>1. SERVICE MARKETS</w:t>
      </w:r>
    </w:p>
    <w:p>
      <w:r>
        <w:t>16. The European Commission10 identified a relevant market that indiscriminately includes the collection and treatment (sorting, compacting, cutting, shearing, or shredding) of metallic waste used in the production of recycled steel, possibly segmented between carbon steel and stainless steel.</w:t>
      </w:r>
    </w:p>
    <w:p>
      <w:r>
        <w:t>17. The majority of respondents to the market test confirm these segmentations. It emerges from the investigation that, even though stainless steel is not usually considered a ferrous metal, its collection and treatment are intended for the production of recycled steel by steel mills, similar to all collected ferrous metals. However, these two categories of metallic waste (carbon steel or ferrous waste and stainless steel), although collected and treated at the same site, are subject to distinct treatment in that stainless steel is an alloy whose value is much higher than that of iron.</w:t>
      </w:r>
    </w:p>
    <w:p>
      <w:r>
        <w:t>18. In this case, it is not necessary to rule on these different segmentations, as the conclusions of the competitive analysis remain unchanged regardless of the delimitation adopted.</w:t>
      </w:r>
    </w:p>
    <w:p>
      <w:r>
        <w:t>2. GEOGRAPHICAL MARKETS</w:t>
      </w:r>
    </w:p>
    <w:p>
      <w:r>
        <w:t>While leaving the question open, decision-making practice has considered that the markets for the treatment of metallic waste used in the production of recycled steel could have a national or local dimension. Thus, the national dimension of the markets is justified by the use of tendering procedures by local authorities and industries at the national level. However, treatment sites cover more limited geographical areas as they are closely linked to the activity of collecting metallic waste11. The European Commission12 indicated, while leaving the question open, that the geographical market could be delineated by areas with a radius of 200 km. In this case, it is not necessary to rule on these different segmentations, as the conclusions of the competitive analysis remain unchanged regardless of the delimitation adopted.</w:t>
      </w:r>
    </w:p>
    <w:p>
      <w:r>
        <w:t>19. In this case, the parties are simultaneously active in nineteen areas with a radius of 200 km around the Bartin sites.</w:t>
      </w:r>
    </w:p>
    <w:p>
      <w:r>
        <w:t>10 See the decision of the European Commission M.4495 Alfa Acciai / Cronimet / Remondis / TSR Group of February 6, 2007. The minister (letter from the minister C2007-168, cited above) and then the Authority conducted competitive analyses on this market.</w:t>
      </w:r>
    </w:p>
    <w:p>
      <w:r>
        <w:t>11 See in particular the decision of the Competition Authority No. 12-DCC-17 of February 6, 2012, regarding the acquisition of Recylux Group SA and certain real estate assets by Ecore BV.</w:t>
      </w:r>
    </w:p>
    <w:p>
      <w:r>
        <w:t>12 See the decision of the European Commission M.4495, cited above.</w:t>
      </w:r>
    </w:p>
    <w:p>
      <w:r>
        <w:t>C. MARKETS FOR THE RECOVERY OF WASTE</w:t>
      </w:r>
    </w:p>
    <w:p>
      <w:r>
        <w:t>20. In contrast to disposal (by landfilling or incineration)13, recovery involves the treatment of waste with the aim of reselling it to industries that consume recycled waste (material recovery) or producing energy (energy recovery). For the purposes of the analysis, the term "recovery" here only covers material recovery.</w:t>
      </w:r>
    </w:p>
    <w:p>
      <w:r>
        <w:t>1. SERVICE MARKETS</w:t>
      </w:r>
    </w:p>
    <w:p>
      <w:r>
        <w:t>21. Decision-making practice has segmented the recovery of waste into as many markets as there are types of materials to be recovered: metals, glass, paper-cardboard, plastics, wood. It has thus distinguished for its analysis a market for the recovery of metallic waste, a market for the recovery of wood waste, a market for the recovery of paper and cardboard, and a market for the recovery of plastics14.</w:t>
      </w:r>
    </w:p>
    <w:p>
      <w:r>
        <w:t>22. The market for the recovery of metallic waste includes ferrous metals, non-ferrous metals, and metal from the deconstruction of end-of-life vehicles ("ELV"). The recyclable materials mainly come from new scrap resulting from steel processing and recovered scrap. However, the minister analyzed a global market for metallic waste as it appears that there is a high substitutability between these different types of materials, both on the demand side and the supply side, with providers recovering the different types of "scrap" interchangeably, regardless of their origin. The market test confirms the relevance of this global approach.</w:t>
      </w:r>
    </w:p>
    <w:p>
      <w:r>
        <w:t>23. In this case, the parties are simultaneously active in the markets for the recovery of metallic waste, paper and cardboard waste, wood waste, and plastic waste.</w:t>
      </w:r>
    </w:p>
    <w:p>
      <w:r>
        <w:t>2. GEOGRAPHICAL MARKETS</w:t>
      </w:r>
    </w:p>
    <w:p>
      <w:r>
        <w:t>24. Decision-making practice considers that the market for the recovery of waste has a national dimension15. Indeed, certain materials may have a sufficiently high economic value to justify that transportation costs, even significant, remain negligible in relation to the recovery they undergo. Furthermore, recycling facilities do not always offer as extensive local coverage as treatment facilities. Finally, it appears that in these markets, operators of national size are active throughout the territory. Both on the supply side and the demand side, the competitive conditions can therefore be considered homogeneous across the national territory.</w:t>
      </w:r>
    </w:p>
    <w:p>
      <w:r>
        <w:t>13 See the letter from the minister C2007-168 cited above, which identifies a market for disposal treatment, segmented between landfilling and incineration of ordinary waste (without distinction DMA/DBE), of a local dimension corresponding to departmental areas or areas with a radius of 200 km, or even 100 km.</w:t>
      </w:r>
    </w:p>
    <w:p>
      <w:r>
        <w:t>14 See the decision of the Competition Authority No. 13-DCC-44, cited above.</w:t>
      </w:r>
    </w:p>
    <w:p>
      <w:r>
        <w:t>15 See in particular the decision of the Competition Authority 14-DCC-108, cited above.</w:t>
      </w:r>
    </w:p>
    <w:p>
      <w:r>
        <w:t>III. Competitive Analysis</w:t>
      </w:r>
    </w:p>
    <w:p>
      <w:r>
        <w:t>The present operation is likely to have horizontal effects on the markets for the collection of DBE, the collection of metallic waste, the collection/treatment of metallic waste used in the recycling of steel, the recovery of material waste, and the trading of recovered waste.</w:t>
      </w:r>
    </w:p>
    <w:p>
      <w:r>
        <w:t>1. MARKETS FOR THE COLLECTION OF DBE</w:t>
      </w:r>
    </w:p>
    <w:p>
      <w:r>
        <w:t>25. In the national market for the collection of DBE, the new entity will hold an estimated market share of [5-10]%16 with a market share increment of [0-5] points.</w:t>
      </w:r>
    </w:p>
    <w:p>
      <w:r>
        <w:t>26. In areas including the departments where the Bartin collection sites are located and the neighboring departments (around the departments of Allier, Aube, Cher, Eure, Gironde, Indre, Loir-et-Cher, Loire-Atlantique, Loiret, Nièvre, Nord, Oise, Pyrénées-Atlantiques, Deux-Sèvres, Tarn-et-Garonne, Vienne, and Seine-Saint-Denis), the market share of the new entity does not exceed [10-20]%17.</w:t>
      </w:r>
    </w:p>
    <w:p>
      <w:r>
        <w:t>27. In areas with a radius of 200 km around the nineteen Bartin collection sites located in the municipalities of Yzeure (03), La Chapelle Saint Luc (10), La Chapelle Saint Ursin (18), Vierzon (18), Evreux (27), Bègles (33), Châteauroux (36), Romorantin (41), Guérande (44), Amilly (45), Briare (45), Fourchambault (58), Hautmont (59), Songeons (60), Mont (64), Cerizay (79), Montauban (82), Iteuil (86), and La Courneuve (93), the market shares of the new entity will be below [10-20]%18.</w:t>
      </w:r>
    </w:p>
    <w:p>
      <w:r>
        <w:t>28. Given these limited market shares, the operation is not likely to lead to anti-competitive effects in the markets for the collection of DBE.</w:t>
      </w:r>
    </w:p>
    <w:p>
      <w:r>
        <w:t>2. THE MARKET FOR THE COLLECTION OF METALLIC WASTE</w:t>
      </w:r>
    </w:p>
    <w:p>
      <w:r>
        <w:t>29. In a potential national market for the collection of ferrous and non-ferrous metallic waste19, the market share of the new entity is [10-20]% with an increment of [0-5] points. The parties will face competition from numerous players including Guy Dauphin Environnement ([10-20]%), Suez ([5-10]%), Paprec ([0-5]%), and Galloo France ([0-5]%).</w:t>
      </w:r>
    </w:p>
    <w:p>
      <w:r>
        <w:t>30. In local areas within a radius of 200 km around the Bartin sites, the market share of the new entity will range from [10-20]% (Songeons site) to [20-30]% (La-Chapelle-Saint-Ursin site). The parties will also face numerous competitors in each of these local areas.</w:t>
      </w:r>
    </w:p>
    <w:p>
      <w:r>
        <w:t>31. Given these limited market shares, the operation is not likely to lead to anti-competitive effects in the markets for the collection of metallic waste.</w:t>
      </w:r>
    </w:p>
    <w:p>
      <w:r>
        <w:t>16 In a market estimated by the parties at […] tons, Derichebourg collects […] tons and Bartin […] tons.</w:t>
      </w:r>
    </w:p>
    <w:p>
      <w:r>
        <w:t>17 The market shares of the new entity will range from [0-5]% (Eure department and neighboring departments) to [10-20]% (Cher department and neighboring departments).</w:t>
      </w:r>
    </w:p>
    <w:p>
      <w:r>
        <w:t>18 The market shares of the new entity will range from [5-10]% (Montauban site) to [10-20]% (La Chapelle-Saint-Luc site).</w:t>
      </w:r>
    </w:p>
    <w:p>
      <w:r>
        <w:t>19 In a market estimated by the parties at […] tons, Derichebourg collects […] tons and Bartin […] tons.</w:t>
      </w:r>
    </w:p>
    <w:p>
      <w:r>
        <w:rPr>
          <w:b/>
        </w:rPr>
        <w:t>[Pages 7–8]</w:t>
      </w:r>
    </w:p>
    <w:p>
      <w:r>
        <w:t>3. THE MARKET FOR THE TREATMENT OF METALLIC WASTE USED IN THE PRODUCTION OF RECYCLED STEEL</w:t>
      </w:r>
    </w:p>
    <w:p>
      <w:r>
        <w:t>32. In the national market for the treatment of ferrous metals and stainless steel, the new entity will hold a market share of [10-20]% with a market share increment of […] points. It will face competition in this market from several players including Guy Dauphin Environnement ([10-20]%), Suez ([10-20]%), Paprec ([0-5]%), and Galloo France ([0-5]%). In the carbon steel segment, the parties estimate the market share of the new entity to be [10-20]% (Derichebourg: [5-10]% and Bartin: [0-5]%). In the stainless steel segment, the parties estimate the market share of the new entity to be [10-20]% (Derichebourg: [10-20]% and Bartin: [0-5]%).</w:t>
      </w:r>
    </w:p>
    <w:p>
      <w:r>
        <w:t>33. In areas within a 200 km radius around the target group's sites, the market shares of the new entity will be below 25% across all areas in the market for the treatment of ferrous metals and stainless steel. In the carbon steel segment, the parties estimate that the market share of the new entity will be between [10-20]% (Songeons site) and [20-30]% (La Chapelle-Saint-Ursin site). In the stainless steel segment, the parties estimate that the market share of the new entity will be between [5-10]% (Montauban site) and [10-20]% (Haumont site). The parties will face numerous competitors in each of these local areas.</w:t>
      </w:r>
    </w:p>
    <w:p>
      <w:r>
        <w:t>34. Therefore, in light of these limited market shares and the existence of numerous competitors, the operation is not likely to lead to horizontal effects in the market for the treatment of metallic waste used in steel recycling.</w:t>
      </w:r>
    </w:p>
    <w:p>
      <w:r>
        <w:t>4. THE MARKET FOR THE RECOVERY OF MATERIAL WASTE</w:t>
      </w:r>
    </w:p>
    <w:p>
      <w:r>
        <w:t>35. In the segment of the recovery of metallic waste, the parties have a combined market share of [20-30]% (Derichebourg: [20-30]%; Bartin: [0-5]%). The new entity will face competition from several players such as Guy Dauphin Environnement ([20-30]%), Suez ([5-10]%), Paprec ([5-10]%), Galloo France ([5-10]%), and Decons ([0-5]%).</w:t>
      </w:r>
    </w:p>
    <w:p>
      <w:r>
        <w:t>36. In the other segments of the recovery of paper and cardboard waste, wood waste, and plastic waste, the market share of the new entity will remain below 5%.</w:t>
      </w:r>
    </w:p>
    <w:p>
      <w:r>
        <w:t>37. Therefore, in light of these various elements, the operation is not likely to harm competition in the market for the recovery of material waste.</w:t>
      </w:r>
    </w:p>
    <w:p>
      <w:r>
        <w:t>DECIDES</w:t>
      </w:r>
    </w:p>
    <w:p>
      <w:r>
        <w:t>Sole Article: The operation notified under number 16-157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