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https://www.autoritedelaconcurrence.fr/fr/decision-de-controle-des-concentrations/relative-la-prise-de-controle-exclusif-de-la-societe-bayern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22-DCC-98 of June 15, 2022  </w:t>
        <w:br/>
        <w:t xml:space="preserve">regarding the exclusive control acquisition of the company Bayern Auto Sport  </w:t>
        <w:br/>
        <w:t xml:space="preserve">by the company JPC Évolution  </w:t>
        <w:br/>
        <w:t>The Competition Authority,</w:t>
      </w:r>
    </w:p>
    <w:p>
      <w:r>
        <w:t xml:space="preserve">Having regard to the complete notification file submitted to the mergers department on May 25, 2022,  </w:t>
        <w:br/>
        <w:t xml:space="preserve">concerning the exclusive control acquisition of the company Bayern Auto Sport by the company  </w:t>
        <w:br/>
        <w:t>JPC Évolution, formalized by a share transfer agreement dated March 4,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JPC Évolution of the  </w:t>
        <w:br/>
        <w:t xml:space="preserve">company Bayern Auto Sport, operating car dealerships located in Arques (62), Coquelles (62), Coudekerque-Branche (59) and Saint-Léonard (62). The operation constitutes a  </w:t>
        <w:br/>
        <w:t xml:space="preserve">concentration within the meaning of Article L. 430-1 of the Commercial Code. Given the revenues generated by the companies concerned, the operation does not fall under the jurisdiction of  </w:t>
        <w:br/>
        <w:t xml:space="preserve">the European Union. However, the retail trade control thresholds mentioned in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22-088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