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https://www.autoritedelaconcurrence.fr/fr/decision-de-controle-des-concentrations/relative-la-prise-de-controle-exclusif-de-la-societe-bazar</w:t>
      </w:r>
    </w:p>
    <w:p>
      <w:r>
        <w:t>Pages translated : 2</w:t>
      </w:r>
    </w:p>
    <w:p/>
    <w:p>
      <w:r>
        <w:rPr>
          <w:b/>
        </w:rPr>
        <w:t>[Pages 1–2]</w:t>
      </w:r>
    </w:p>
    <w:p>
      <w:r>
        <w:t>FRENCH REPUBLIC</w:t>
        <w:br/>
        <w:t>Decision No. 23-DCC-63 of April 12, 2023</w:t>
        <w:br/>
        <w:t>regarding the exclusive control acquisition of the company Bazar de l’Hôtel de Ville and 7 Galeries Lafayette stores by the company Groupe SGM</w:t>
        <w:br/>
        <w:t>The Competition Authority,</w:t>
        <w:br/>
        <w:t>Having regard to the complete notification file sent to the mergers department on March 23, 2023, concerning the exclusive control acquisition of the company Bazar de l’Hôtel de Ville and 7 Galeries Lafayette stores by the company Groupe SGM, formalized by a unilateral purchase promise dated December 15, 2022, its amendment of February 7, 2023, and a letter from the seller dated March 22, 2023;</w:t>
        <w:br/>
        <w:t>Having regard to Book IV of the Commercial Code relating to the freedom of prices and competition, and in particular its Articles L. 430-1 to L. 430-7;</w:t>
        <w:br/>
        <w:t>Having regard to the additional elements provided by the notifying party during the investigation;</w:t>
        <w:br/>
        <w:t>Adopts the following decision:</w:t>
        <w:br/>
        <w:t>1. The notified operation consists of the exclusive control acquisition by the company Groupe SGM of the company Bazar de l’Hôtel de Ville and its subsidiary Restauration du Bazar and 7 Galeries Lafayette stores. The parties are active in the real estate sector, and the targets have activities related to the supply and retail sale of food and non-food products. The operation constitutes a concentration operation within the meaning of Article L. 430-1 of the Commercial Code. Given the turnover generated by the concerned companies, the operation does not fall under the jurisdiction of the European Union. However, the control thresholds related to retail trade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23-034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