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https://www.autoritedelaconcurrence.fr/fr/decision-de-controle-des-concentrations/relative-la-prise-de-controle-exclusif-de-la-societe-bbm77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13-DCC-131 of September 10, 2013  </w:t>
        <w:br/>
        <w:t xml:space="preserve">regarding the exclusive control acquisition of the company BBM77 by the  </w:t>
        <w:br/>
        <w:t xml:space="preserve">company By My Car Group  </w:t>
        <w:br/>
        <w:t>The Competition Authority,</w:t>
      </w:r>
    </w:p>
    <w:p>
      <w:r>
        <w:t xml:space="preserve">Having regard to the complete notification file sent to the mergers department on August 20, 2013,  </w:t>
        <w:br/>
        <w:t xml:space="preserve">concerning the exclusive control acquisition of the company BBM77 by the company By My Car Group,  </w:t>
        <w:br/>
        <w:t>formalized by a share transfer agreement dated August 1, 2013;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Having regard to the additional elements provided by the parties during the investigation;</w:t>
      </w:r>
    </w:p>
    <w:p>
      <w:r>
        <w:t xml:space="preserve">Adopts the following decision:  </w:t>
        <w:br/>
        <w:t xml:space="preserve">1. The notified operation consists of the exclusive control acquisition of the company BBM77, operating  </w:t>
        <w:br/>
        <w:t xml:space="preserve">a car dealership for BMW and Mini brands located in Saint-Thibault-des-Vignes (77), by the company By My Car Group, which is itself active in automobile distribution in several other departments. It constitutes a concentration operation within the meaning of Article L. 430-1 of the Commercial Code. Given the turnover achieved by the companies concerned, the operation does not have a community dimension. On the other hand, the retail control thresholds mentioned in point II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13-145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