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26-DCC-89 of April 13, 2026  </w:t>
        <w:br/>
        <w:t xml:space="preserve">regarding the exclusive control acquisition of the company BD France by the  </w:t>
        <w:br/>
        <w:t>company DanHatch</w:t>
      </w:r>
    </w:p>
    <w:p>
      <w:r>
        <w:t>The Competition Authority,</w:t>
      </w:r>
    </w:p>
    <w:p>
      <w:r>
        <w:t xml:space="preserve">Having regard to the complete notification file submitted to the mergers department on March 25, 2026,  </w:t>
        <w:br/>
        <w:t xml:space="preserve">concerning the exclusive control acquisition by the company DanHatch of the company BD France, formalized  </w:t>
        <w:br/>
        <w:t>by a transfer contract signed on January 28, 2026;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DanHatch of the  </w:t>
        <w:br/>
        <w:t xml:space="preserve">company BD France, which primarily engages in the production and commercialization of day-old chicks and hatching eggs. The operation constitutes a  </w:t>
        <w:br/>
        <w:t xml:space="preserve">concentration, within the meaning of Article L. 430-1 of the Commercial Code. Given the turnover 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>of Articles 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26-066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