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https://www.autoritedelaconcurrence.fr/fr/decision-de-controle-des-concentrations/relative-la-prise-de-controle-exclusif-de-la-societe-belvia</w:t>
      </w:r>
    </w:p>
    <w:p>
      <w:r>
        <w:t>Pages translated : 4</w:t>
      </w:r>
    </w:p>
    <w:p/>
    <w:p>
      <w:r>
        <w:rPr>
          <w:b/>
        </w:rPr>
        <w:t>[Pages 1–3]</w:t>
      </w:r>
    </w:p>
    <w:p>
      <w:r>
        <w:t xml:space="preserve">FRENCH REPUBLIC  </w:t>
        <w:br/>
        <w:t xml:space="preserve">Decision No. 15-DCC-10 of February 12, 2015  </w:t>
        <w:br/>
        <w:t xml:space="preserve">regarding the exclusive control of Belvia Immobilier by Citya Immobilier  </w:t>
        <w:br/>
        <w:t xml:space="preserve">The Competition Authority,  </w:t>
        <w:br/>
        <w:t xml:space="preserve">Having regard to the notification file submitted in full to the concentrations service on January 8, 2015, regarding the exclusive control of Belvia Immobilier by Citya Immobilier, formalized by a share transfer agreement concluded on December 22, 2014;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Citya Immobilier (hereinafter, "Citya") is a company active in real estate services for individuals (management of residential co-ownerships, rental management of residential properties, brokerage in sales, brokerage in rental transactions of residential properties). It is 100% owned by the company Arche, whose capital is wholly owned by Mr. [X]. He directly or indirectly controls companies active in insurance brokerage, construction and management of para-hotel residences, land acquisition, as well as real estate civil companies.  </w:t>
        <w:br/>
        <w:t xml:space="preserve">2. Belvia Immobilier (hereinafter, "Belvia") is also a company active in the sector of real estate services for individuals. Belvia also controls the company Belvia Garanties, which has an insurance brokerage activity, as well as the company Kap Gestion, which has no economic activity. Belvia is controlled by the company Luxeuil Finance, which is subject to fluctuating control by its shareholders.  </w:t>
        <w:br/>
        <w:t>3. The notified operation consists of the acquisition by Citya of 100% of the capital and voting rights of Belvia. As it results in the exclusive control of Belvia by Citya and therefore by Mr. [X], the notified operation constitutes a concentration operation within the meaning of Article L. 430-1 of the Commercial Code.</w:t>
      </w:r>
    </w:p>
    <w:p>
      <w:r>
        <w:t xml:space="preserve">4. The companies concerned together achieved a consolidated worldwide turnover excluding taxes of more than 150 million euros in the last closed financial year (Citya and other companies controlled by Mr. [X]: [...] euros for the financial year ending December 31, 2013; Belvia and its subsidiaries: [...] euros for the same financial year). Each of these companies achieved a turnover in France exceeding 50 million euros (Citya and other companies controlled by Mr. [X]: [...] euros for the financial year ending December 31, 2013; Belvia and its subsidiaries: [...] euros for the same financial year). Given these turnovers, the operation does not fall under the jurisdiction of the European Union. However, the control thresholds mentioned in I of Article L. 430-2 of the Commercial Code are met. This operation is therefore subject to the provisions of Articles L. 430-3 and following of the Commercial Code relating to economic concentration.  </w:t>
        <w:br/>
        <w:t xml:space="preserve">II. Definition of the relevant markets  </w:t>
        <w:br/>
        <w:t xml:space="preserve">5. The parties to the operation are simultaneously present in the sector of real estate services aimed at individuals.  </w:t>
        <w:br/>
        <w:t xml:space="preserve">6. They are also present in the brokerage of real estate insurance aimed at individuals. However, the parties to the operation generate a cumulative turnover from this activity of less than [...] euros, while the insurance brokerage market represents 4.4 billion euros. Regardless of the market segmentations retained, the cumulative market share of the parties is less than 0.5% and the operation is therefore not likely to harm competition in these markets, which will not be subject to a more detailed competitive analysis in this decision.  </w:t>
        <w:br/>
        <w:t xml:space="preserve">A. THE MARKETS FOR REAL ESTATE SERVICES  </w:t>
        <w:br/>
        <w:t xml:space="preserve">7. National and European decision-making practice has considered, while leaving the question open, various segmentations in the real estate services sector according to (i) the recipients of the services (individuals or businesses), (ii) the pricing method (free residential real estate and social or intermediate housing), (iii) the type of activity carried out in the premises (offices, commercial premises, and other activity premises), and (iv) the nature of the services or goods offered.  </w:t>
        <w:br/>
        <w:t xml:space="preserve">8. Regarding segmentation according to the nature of the services or goods offered, decision-making practice has considered distinguishing:  </w:t>
        <w:br/>
        <w:t xml:space="preserve">- real estate development, which includes construction and sale activities of real estate properties;  </w:t>
        <w:br/>
        <w:t xml:space="preserve">- management of real estate assets for own account;  </w:t>
        <w:br/>
        <w:t xml:space="preserve">- management of real estate assets for third-party account;  </w:t>
        <w:br/>
        <w:t xml:space="preserve">- administration of real estate properties, which covers the management activities of buildings on behalf of owners and can be segmented between rental management and co-ownership management;  </w:t>
        <w:br/>
        <w:t xml:space="preserve">- real estate appraisal;  </w:t>
        <w:br/>
        <w:t xml:space="preserve">- real estate consulting;  </w:t>
        <w:br/>
        <w:t>- brokerage in real estate transactions, where brokerage in purchase/sale operations is distinguished from brokerage in rental operations.</w:t>
      </w:r>
    </w:p>
    <w:p>
      <w:r>
        <w:t xml:space="preserve">9. There is no need to challenge these segmentations in the context of this decision.  </w:t>
        <w:br/>
        <w:t xml:space="preserve">10. In this case, the parties to the operation are simultaneously active in the markets for the management of residential co-ownerships, rental management of residential properties, brokerage in the sale of residential properties, and brokerage in the rental of residential properties.  </w:t>
        <w:br/>
        <w:t xml:space="preserve">B. THE GEOGRAPHICAL MARKETS  </w:t>
        <w:br/>
        <w:t xml:space="preserve">11. Decision-making practice considers that most real estate services markets are of infranational dimension, while leaving the question open. Regarding Île-de-France, decision-making practice has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at the price level. Therefore, the regional level is the most appropriate for competitive analysis."  </w:t>
        <w:br/>
        <w:t xml:space="preserve">12. For other regions, competition authorities have conducted their competitive analyses at the regional or sub-regional level. They have thus examined the effects of an operation at the level of cities, urban areas, departments, or regions.  </w:t>
        <w:br/>
        <w:t xml:space="preserve">13. In any case, the question of the exact delimitation of the geographical markets in the real estate sector will be left open as the conclusions of the competitive analysis will remain unchanged regardless of the delimitation retained.  </w:t>
        <w:br/>
        <w:t>14. In this case, Belvia has a network of 27 agencies located in Archamps (74), Belfort (90), Vandoeuvre-lès-Nancy (54), Chalon-sur-Saône (71), Clermont-Ferrand (63), Bordeaux (33), Rennes (35), Tours (37), Montauban (82), Balma and Toulouse (31), Rouen (76), Rungis (94).</w:t>
      </w:r>
    </w:p>
    <w:p>
      <w:r>
        <w:rPr>
          <w:b/>
        </w:rPr>
        <w:t>[Pages 4–4]</w:t>
      </w:r>
    </w:p>
    <w:p>
      <w:r>
        <w:t>Reims (51), Pau (64), Montpellier (34), Limoges (87), Lille (59), Valenciennes (62), Nantes (44), La Rochelle (17), Aix-en-Provence (13), Lyon (69), Albi (81) and Carcassonne (11). The competitive analysis will be conducted both at the national level and at the level of each concerned city.</w:t>
      </w:r>
    </w:p>
    <w:p>
      <w:r>
        <w:t>III. Competitive Analysis</w:t>
      </w:r>
    </w:p>
    <w:p>
      <w:r>
        <w:t>15. At the national level, the market shares of the new entity will be below [5-10]% in each of the relevant real estate services markets (markets for the management of residential co-ownerships, rental management of residential housing, brokerage in the sale of residential housing, and brokerage in the rental of residential housing), with an increment of less than 1%. The parties to the operation indicate that the sector leader is the Foncia group with a network of over 600 agencies. They will also face competition from the groups Nexity, Procivis, Square Habitat, Sergic, Loiselet &amp; Daigremont, and Billon Immobilier.</w:t>
      </w:r>
    </w:p>
    <w:p>
      <w:r>
        <w:t>16. At the subnational level, the parties are simultaneously active in the cities of Avignon (84), Bordeaux (33), Clermont-Ferrand (63), Lille (59), La Rochelle (17), Limoges (87), Lyon (69), Montpellier (34), Nantes (44), Pau (64), Rouen (76), Toulouse (31), and Tours (37). For all these areas, the market share of the new entity will remain below [10-20]% in each of the relevant real estate services markets for individuals. The parties note that this sector is highly fragmented and that they face, in each area, in addition to the competition from integrated groups, the competition from a multitude of independent local operators who exert real competitive pressure due to, in particular, their proximity to clients and their knowledge of the local market.</w:t>
      </w:r>
    </w:p>
    <w:p>
      <w:r>
        <w:t>17. It follows from the above that the operation is not likely to harm competition in the relevant markets.</w:t>
      </w:r>
    </w:p>
    <w:p>
      <w:r>
        <w:t>DECIDES</w:t>
      </w:r>
    </w:p>
    <w:p>
      <w:r>
        <w:t>Sole Article: the operation notified under number 15-002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