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https://www.autoritedelaconcurrence.fr/fr/decision-de-controle-des-concentrations/relative-la-prise-de-controle-exclusif-de-la-societe-bga</w:t>
      </w:r>
    </w:p>
    <w:p>
      <w:r>
        <w:t>Pages translated : 2</w:t>
      </w:r>
    </w:p>
    <w:p/>
    <w:p>
      <w:r>
        <w:rPr>
          <w:b/>
        </w:rPr>
        <w:t>[Pages 1–2]</w:t>
      </w:r>
    </w:p>
    <w:p>
      <w:r>
        <w:t xml:space="preserve">FRENCH REPUBLIC  </w:t>
        <w:br/>
        <w:t xml:space="preserve">Decision No. 17-DCC-178 of October 27, 2017  </w:t>
        <w:br/>
        <w:t xml:space="preserve">regarding the exclusive control acquisition  </w:t>
        <w:br/>
        <w:t xml:space="preserve">of the company BGA Motors by the Passion Automobile group  </w:t>
        <w:br/>
        <w:t xml:space="preserve">The Competition Authority,  </w:t>
        <w:br/>
        <w:t xml:space="preserve">Having regard to the complete notification file sent to the mergers department on September 28,  </w:t>
        <w:br/>
        <w:t xml:space="preserve">2017, concerning the exclusive control acquisition of the company BGA Motors by the Passion  </w:t>
        <w:br/>
        <w:t xml:space="preserve">Automobile group, formalized by an offer letter dated June 28,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Passion Automobile group  </w:t>
        <w:br/>
        <w:t xml:space="preserve">of the company BGA Motors, which is active in the market for the distribution of used motor vehicles  </w:t>
        <w:br/>
        <w:t xml:space="preserve">in the department of Isère (38). It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17-121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