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https://www.autoritedelaconcurrence.fr/fr/decision-de-controle-des-concentrations/relative-la-prise-de-controle-exclusif-de-la-societe-biagri</w:t>
      </w:r>
    </w:p>
    <w:p>
      <w:r>
        <w:t>Pages translated : 2</w:t>
      </w:r>
    </w:p>
    <w:p/>
    <w:p>
      <w:r>
        <w:rPr>
          <w:b/>
        </w:rPr>
        <w:t>[Pages 1–2]</w:t>
      </w:r>
    </w:p>
    <w:p>
      <w:r>
        <w:t xml:space="preserve">FRENCH REPUBLIC  </w:t>
        <w:br/>
        <w:t xml:space="preserve">Decision No. 20-DCC-137 of October 7, 2020  </w:t>
        <w:br/>
        <w:t xml:space="preserve">regarding the exclusive control acquisition of the company Biagri by the Agricultural Cooperative Society of Eure-et-Loir  </w:t>
        <w:br/>
        <w:t xml:space="preserve">The Competition Authority,  </w:t>
        <w:br/>
        <w:t xml:space="preserve">Having regard to the notification file sent to the mergers department on September 9, 2020, declared complete on October 2, 2020, concerning the exclusive control acquisition of the company Biagri by the company Agrinnov, a subsidiary of the Agricultural Cooperative Society of Eure-et-Loir, formalized by a transfer contract dated July 24, 2020;  </w:t>
        <w:br/>
        <w:t xml:space="preserve">Having regard to Book IV of the Commercial Code relating to the freedom of prices and competition, and in particular its Articles L. 430-1 to L. 430-7;  </w:t>
        <w:br/>
        <w:t xml:space="preserve">Having regard to the additional elements transmitted by the notifying party during the investigation;  </w:t>
        <w:br/>
        <w:t xml:space="preserve">Adopts the following decision:  </w:t>
        <w:br/>
        <w:t xml:space="preserve">1. The notified operation consists of the exclusive control acquisition of the company Biagri by the company Agrinnov, a subsidiary of the Agricultural Cooperative Society of Eure-et-Loir, both active in the markets for the trading of cereals, protein crops, and oilseeds, in the agri-supply markets, the seed markets, and in the animal nutrition markets. It constitutes a concentration operation within the meaning of Article L. 430-1 of the Commercial Code. Given the turnover achieved by the companies concerned, the operation does not fall under the jurisdiction of the European Union. However,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20-158 is authorized.  </w:t>
        <w:br/>
        <w:t xml:space="preserve">The President,  </w:t>
        <w:br/>
        <w:t xml:space="preserve">Isabelle de Silva  </w:t>
        <w:br/>
        <w:t xml:space="preserve">© Competition Authority  </w:t>
        <w:br/>
        <w:t>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