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https://www.autoritedelaconcurrence.fr/fr/decision-de-controle-des-concentrations/relative-la-prise-de-controle-exclusif-de-la-societe-billon</w:t>
      </w:r>
    </w:p>
    <w:p>
      <w:r>
        <w:t>Pages translated : 4</w:t>
      </w:r>
    </w:p>
    <w:p/>
    <w:p>
      <w:r>
        <w:rPr>
          <w:b/>
        </w:rPr>
        <w:t>[Pages 1–3]</w:t>
      </w:r>
    </w:p>
    <w:p>
      <w:r>
        <w:t xml:space="preserve">FRENCH REPUBLIC  </w:t>
        <w:br/>
        <w:t xml:space="preserve">Decision No. 13-DCC-105 of August 6, 2013  </w:t>
        <w:br/>
        <w:t xml:space="preserve">regarding the exclusive control of the company  </w:t>
        <w:br/>
        <w:t xml:space="preserve">Billon SA by the company Hervé Thermique SAS  </w:t>
        <w:br/>
        <w:t xml:space="preserve">The Competition Authority,  </w:t>
        <w:br/>
        <w:t xml:space="preserve">Having regard to the notification file submitted in full to the merger service on July 10, 2013,  </w:t>
        <w:br/>
        <w:t xml:space="preserve">regarding the exclusive control of the company Billon SA by the company Hervé Thermique  </w:t>
        <w:br/>
        <w:t xml:space="preserve">SAS, formalized by a buyout offer dated June 27, 2013;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Hervé Thermique SAS is a subsidiary of a [confidential] group controlled by the  </w:t>
        <w:br/>
        <w:t xml:space="preserve">company SC Hervé, which is itself controlled by members of the Hervé family (hereinafter the  </w:t>
        <w:br/>
        <w:t xml:space="preserve">“Groupe Hervé”). The Groupe Hervé is organized into three business sectors: (i) the “Energy Services” sector, which includes the design, implementation, installation, and maintenance of systems and smart technologies in all types of buildings, including notably climate engineering, sanitary, electricity, industrial refrigeration, plumbing, boiler-making, water treatment, roofing, as well as engineering and energy economy studies; (ii) the “Industry” sector, which includes the design, realization, and calibration of equipment and custom works in aeronautics, shipbuilding, industrial piping, boiler-making, and machine tools, intended for applications in civil and military marine, aviation, petrochemicals and chemistry, nuclear, agro-industry, and pharmaceuticals; and (iii) the “Digital” sector, which includes the creation, design, integration, and realization of solutions tailored to the needs of IT infrastructures, web applications, collaborative tools, training, and current and emerging communication supports.  </w:t>
        <w:br/>
        <w:t>1 [Confidential].</w:t>
      </w:r>
    </w:p>
    <w:p>
      <w:r>
        <w:t xml:space="preserve">2. The company Billon SA (hereinafter “Billon”) is a public limited company whose capital is  </w:t>
        <w:br/>
        <w:t xml:space="preserve">entirely held by members of the Billon family. Billon is active in the fields of plumbing, heating, air conditioning, ventilation, smoke extraction, waterproofing, cladding, maintenance, and electricity.  </w:t>
        <w:br/>
        <w:t xml:space="preserve">3. The proposed transaction consists of the acquisition by Hervé Thermique SAS of 100% of the shares  </w:t>
        <w:br/>
        <w:t xml:space="preserve">comprising the capital of Billon SA. The transaction therefore results in the exclusive control of Billon SA by Hervé Thermique SAS, and as such constitutes a concentration within the meaning of Article L. 430-1 of the Commercial Code.  </w:t>
        <w:br/>
        <w:t xml:space="preserve">4. The companies concerned have together achieved a consolidated worldwide turnover excluding taxes of  </w:t>
        <w:br/>
        <w:t xml:space="preserve">more than 150 million euros (Groupe Hervé: […] euros for the fiscal year ending December 31, 2012; Billon: […] euros for the fiscal year ending March 31, 2012). Each of these companies has achieved, in France, a turnover exceeding 50 million euros during the last closed fiscal year (Groupe Hervé: […] euros for the fiscal year ending December 31, 2012; Billon: […] euros for the fiscal year ending March 31, 2012). Given these turnover figures, the transaction does not have a community dimension. On the other hand, the control thresholds mentioned in I of Article L. 430-2 of the Commercial Code are exceeded. This transaction is therefore subject to the provisions of Articles L. 430-3 and following of the Commercial Code relating to economic concentration.  </w:t>
        <w:br/>
        <w:t xml:space="preserve">II. Definition of relevant markets  </w:t>
        <w:br/>
        <w:t xml:space="preserve">A. PRODUCT MARKETS  </w:t>
        <w:br/>
        <w:t xml:space="preserve">5. The climate engineering sector includes installation, maintenance, and repair work of heating, ventilation, and air conditioning equipment, as well as related piping, ductwork, and sheet metal work. These works are carried out as part of maintenance-renovation work on non-residential buildings and housing, primarily for private companies, property management firms, and individuals.  </w:t>
        <w:br/>
        <w:t xml:space="preserve">6. National and European decision-making practice has had the opportunity to rule on several occasions regarding concentration operations in the climate engineering sector. It has considered that the market for climate engineering work could be distinguished from the market for electrical engineering work or mechanical engineering work. It has also considered that within the climate engineering work market, a distinction could be made based on the type of work and the type of clientele.  </w:t>
        <w:br/>
        <w:t xml:space="preserve">7. Regarding the type of work, decision-making practice has noted that installation work and management and maintenance work generally do not fall under the same contracts and are generally not provided by the same service providers. Installation work includes the initial installation, equipment modernization, as well as any work exceeding regular maintenance and repair, and maintenance work includes organizing periodic inspection visits under annual or multi-year contracts. It concluded that these two types of work could be differentiated. Groupe Hervé and Billon are simultaneously present in these two market segments.  </w:t>
        <w:br/>
        <w:t xml:space="preserve">8. Regarding the type of clientele, decision-making practice has considered distinguishing between residential clients (individual houses and apartment buildings) and non-residential clients (premises in the industrial and tertiary sectors). It has also considered a possible sub-segmentation, without however deciding the issue, within the non-residential clientele between the industrial, tertiary, and infrastructure sectors. Given that Groupe Hervé has a marginal presence in the residential segment, the analysis will focus solely on the non-residential segment.  </w:t>
        <w:br/>
        <w:t xml:space="preserve">9. In this case, the exact delimitation of the climate engineering work markets may remain open, as the conclusions of the competitive analysis remain unchanged regardless of the delimitation retained.  </w:t>
        <w:br/>
        <w:t xml:space="preserve">B. GEOGRAPHICAL MARKETS  </w:t>
        <w:br/>
        <w:t xml:space="preserve">10. Decision-making practice has not determined the exact geographical delimitation of the climate engineering work markets but has generally examined the effects of controlled operations at the national or regional level. It has indeed noted that the main players in these markets are established at the national level, but that a significant number of players are of regional size.  </w:t>
        <w:br/>
        <w:t xml:space="preserve">11. In this case, the precise delimitation of the market may also be left open, as, regardless of the definition retained, the conclusions of the competitive analysis will remain unchanged.  </w:t>
        <w:br/>
        <w:t xml:space="preserve">III. Competitive analysis  </w:t>
        <w:br/>
        <w:t xml:space="preserve">12. According to the notifying party, the market for climate engineering work in France represents 5.5 billion euros in 2011. With respective turnovers of 274 million euros and 33 million euros, the combined market share of Groupe Hervé and Billon will amount to 5.5% with an increment of less than 1%.  </w:t>
        <w:br/>
        <w:t xml:space="preserve">13. In the segment of installation work intended for a non-residential clientele, at the national level, Groupe Hervé achieved a turnover of […] in 2012 and Billon achieved a turnover of […] euros. At the regional level, the installation work of Groupe Hervé is carried out practically throughout the national territory while Billon is only active in the Île-de-France, Rhône-Alpes, and Bouches-du-Rhône regions.  </w:t>
        <w:br/>
        <w:t xml:space="preserve">6 [Confidential].  </w:t>
        <w:br/>
        <w:t xml:space="preserve">7 See the aforementioned decisions.  </w:t>
        <w:br/>
        <w:t>8 Sources: “Installation work of thermal and air conditioning equipment,” La Loupe Financière, December 2012.</w:t>
      </w:r>
    </w:p>
    <w:p>
      <w:r>
        <w:rPr>
          <w:b/>
        </w:rPr>
        <w:t>[Pages 4–4]</w:t>
      </w:r>
    </w:p>
    <w:p>
      <w:r>
        <w:t>Rhône. The activities of the parties overlap in the Île-de-France and Rhône-Alpes regions. In Île-de-France, Groupe Hervé achieved a turnover of […] in 2012, while Billon achieved a turnover of […] euros. In the Rhône-Alpes region, Groupe Hervé achieved a turnover of […] in 2012, while Billon achieved a turnover of […] euros.</w:t>
      </w:r>
    </w:p>
    <w:p>
      <w:r>
        <w:t>14. The parties estimate their market share in the installation works segment, both at the national and regional levels, to be less than 5%. The main national competitors of the parties are: Vinci Energie (through Cegelec, Lefort Francheteau, Tunzini, Saga, Imhoff), Eiffage (through Eiffage Thermie), SPIE, GDF Suez (through Axima-Seitha, Cofely, and Omega Concept), and Bouygues (through ETDE or CVC). The parties specify that there are also many operators operating locally such as Balas Mahey, BBS, Chauffage et Entretien SA, CICT, GEFCA, Lapeyre, Rougnon, UTB, and STCO in Île-de-France or Patricola, Cerniaut, Moos, AT Clim, Idex, Streiff, Busseuil, and Sietra Provence in the Rhône-Alpes region.</w:t>
      </w:r>
    </w:p>
    <w:p>
      <w:r>
        <w:t>15. In the maintenance segment aimed at non-residential clients, at the national level, Groupe Hervé achieved a turnover of […] in 2012, while Billon achieved a turnover of […] euros. At the regional level, maintenance work by Groupe Hervé is carried out practically throughout the national territory, while Billon is only active in the Rhône-Alpes region. In this region, Groupe Hervé achieved a turnover of […] in 2012, while Billon achieved a turnover of […] euros.</w:t>
      </w:r>
    </w:p>
    <w:p>
      <w:r>
        <w:t>16. The parties estimate their market share in the maintenance segment, both at the national and regional levels, to be less than 5%. The main competitors of the parties, whether at the national or local level, in the Rhône-Alpes region are: Vinci Energie, Eiffage, SPIE, GDF Suez, Bouygues, and Dalkia.</w:t>
      </w:r>
    </w:p>
    <w:p>
      <w:r>
        <w:t>17. Considering all these elements, the notified operation is not likely to harm competition in the markets for climate engineering works.</w:t>
      </w:r>
    </w:p>
    <w:p>
      <w:r>
        <w:t>DECIDES</w:t>
      </w:r>
    </w:p>
    <w:p>
      <w:r>
        <w:t>Sole Article: The notified operation under number 13-074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