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https://www.autoritedelaconcurrence.fr/fr/decision-de-controle-des-concentrations/relative-la-prise-de-controle-exclusif-de-la-societe-bio-0</w:t>
      </w:r>
    </w:p>
    <w:p>
      <w:r>
        <w:t>Pages translated : 4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15-DCC-93 of July 13, 2015  </w:t>
        <w:br/>
        <w:t xml:space="preserve">regarding the exclusive control of Bio-Access  </w:t>
        <w:br/>
        <w:t xml:space="preserve">by Eurofins  </w:t>
        <w:br/>
        <w:t xml:space="preserve">The Competition Authority,  </w:t>
        <w:br/>
        <w:t xml:space="preserve">Having regard to the notification file submitted in full to the merger service on June 19, 2015,  </w:t>
        <w:br/>
        <w:t xml:space="preserve">regarding the exclusive control of Bio-Access by Eurofins,  </w:t>
        <w:br/>
        <w:t xml:space="preserve">formalized by a firm offer dated April 28, 2015, countersigned on April 30, 2015, as well  </w:t>
        <w:br/>
        <w:t xml:space="preserve">as by a share transfer and contribution agreement of Bio-Access dated June 17, 2015  </w:t>
        <w:br/>
        <w:t xml:space="preserve">and a draft shareholders' agreement;  </w:t>
        <w:br/>
        <w:t xml:space="preserve">Having regard to Book IV of the Commercial Code relating to price freedom and competition,  </w:t>
        <w:br/>
        <w:t xml:space="preserve">and in particular Articles L. 430-1 to L. 430-7;  </w:t>
        <w:br/>
        <w:t xml:space="preserve">Having regard to the supplementary elements transmitted by the parties during the investigation;  </w:t>
        <w:br/>
        <w:t xml:space="preserve">Adopts the following decision:  </w:t>
        <w:br/>
        <w:t xml:space="preserve">I. The concerned companies and the operation  </w:t>
        <w:br/>
        <w:t xml:space="preserve">1. Eurofins is the parent company of the Eurofins group (hereinafter, "Eurofins"), active in the  </w:t>
        <w:br/>
        <w:t xml:space="preserve">management of laboratories specialized in providing analysis, testing, and technical inspection  </w:t>
        <w:br/>
        <w:t xml:space="preserve">services, particularly bio-analysis services for private companies and public bodies, mainly in the  </w:t>
        <w:br/>
        <w:t xml:space="preserve">pharmaceutical, food industry, and retail sectors, as well as in the environmental field. Eurofins  </w:t>
        <w:br/>
        <w:t xml:space="preserve">also engages in forensic analysis, agroscience, and non-food consumer goods. Eurofins operates an  </w:t>
        <w:br/>
        <w:t xml:space="preserve">international network of 200 laboratories, including 136 within the European Economic Area and 25 in  </w:t>
        <w:br/>
        <w:t xml:space="preserve">France. The individuals comprising the Martin family hold, directly and indirectly via Analytical  </w:t>
        <w:br/>
        <w:t xml:space="preserve">Bioventures SCA, 42.2% of the shares and 59% of the voting rights of Eurofins. They do not control  </w:t>
        <w:br/>
        <w:t xml:space="preserve">any other companies. The remainder of Eurofins' capital is floating.  </w:t>
        <w:br/>
        <w:t xml:space="preserve">2. The Bio-Access group (hereinafter, "Bio-Access") consists of Bio-Access and Labazur Aix-Ouest,  </w:t>
        <w:br/>
        <w:t xml:space="preserve">French law companies, which hold directly or indirectly stakes in several medical biology laboratory  </w:t>
        <w:br/>
        <w:t xml:space="preserve">companies. Prior to the transaction, the capital of Bio-Access is held at 78.44% by the company Oger  </w:t>
        <w:br/>
        <w:t xml:space="preserve">Investissement, wholly owned by Mr. Oger and his family. The remainder of the capital of Oger  </w:t>
        <w:br/>
        <w:t xml:space="preserve">Investissement is held by the biologists working within the Bio-Access laboratories.  </w:t>
        <w:br/>
        <w:t xml:space="preserve">3. The notified transaction, formalized by a share transfer and contribution agreement of Bio-Access  </w:t>
        <w:br/>
        <w:t xml:space="preserve">dated June 17, 2015, provides [confidential]. Upon completion of the transaction, Eurofins will hold,  </w:t>
        <w:br/>
        <w:t xml:space="preserve">directly and indirectly, at least […]% of the capital and voting rights of Bio-Access, Mr. Jean-Louis  </w:t>
        <w:br/>
        <w:t xml:space="preserve">Oger and his family, as well as the associate biologists, will indirectly hold the rest of the capital in the  </w:t>
        <w:br/>
        <w:t xml:space="preserve">form of a minority stake without veto rights on strategic decisions. Eurofins will thus be able to  </w:t>
        <w:br/>
        <w:t xml:space="preserve">exercise alone a decisive influence over Bio-Access.  </w:t>
        <w:br/>
        <w:t xml:space="preserve">4. As it results in the exclusive control of Bio-Access by Eurofins, the transaction constitutes a  </w:t>
        <w:br/>
        <w:t xml:space="preserve">concentration within the meaning of Article L. 430-1 of the Commercial Code.  </w:t>
        <w:br/>
        <w:t xml:space="preserve">5. The concerned companies together achieve a total turnover excluding taxes on a global scale of  </w:t>
        <w:br/>
        <w:t xml:space="preserve">more than 150 million euros (Eurofins: 1.4 billion euros for the fiscal year ending September 30,  </w:t>
        <w:br/>
        <w:t xml:space="preserve">2014; Bio-Access: […] for the fiscal year ending September 30, 2014). These companies achieved in  </w:t>
        <w:br/>
        <w:t xml:space="preserve">France a turnover exceeding 50 million euros (Eurofins: […] for the fiscal year ending September 30,  </w:t>
        <w:br/>
        <w:t xml:space="preserve">2014; Bio-Access: […] for the fiscal year ending September 30, 2014). Given these turnover figures,  </w:t>
        <w:br/>
        <w:t xml:space="preserve">the transaction does not fall under the jurisdiction of the European Union. On the other hand, the  </w:t>
        <w:br/>
        <w:t xml:space="preserve">control thresholds mentioned in point I of Article L. 430-2 of the Commercial Code are exceeded.  </w:t>
        <w:br/>
        <w:t xml:space="preserve">This transaction is therefore subject to the provisions of Articles L. 430-3 and following of the  </w:t>
        <w:br/>
        <w:t xml:space="preserve">Commercial Code relating to economic concentration.  </w:t>
        <w:br/>
        <w:t xml:space="preserve">II. Definition of the relevant markets  </w:t>
        <w:br/>
        <w:t xml:space="preserve">6. The parties to the transaction are simultaneously active in the market for the supply of biological  </w:t>
        <w:br/>
        <w:t xml:space="preserve">equipment, reagents, and consumables in which they operate as buyers.  </w:t>
        <w:br/>
        <w:t xml:space="preserve">7. The decisional practice has considered segmenting the market for the supply of laboratory instruments  </w:t>
        <w:br/>
        <w:t xml:space="preserve">and consumables into nearly as many sectors of activity as there are products or consumables  </w:t>
        <w:br/>
        <w:t xml:space="preserve">concerned by the analyses (culture media and sera, products to activate genes, magnetic beads, etc.).  </w:t>
        <w:br/>
        <w:t xml:space="preserve">The European Commission has thus adopted the classification of in vitro diagnostic products used by  </w:t>
        <w:br/>
        <w:t xml:space="preserve">the European Diagnostic Manufacturers Association ("EDMA"), which classifies reagents and  </w:t>
        <w:br/>
        <w:t xml:space="preserve">consumables into six main categories ("first level"): clinical chemistry, immunochemistry,  </w:t>
        <w:br/>
        <w:t xml:space="preserve">hematology/histology, microbiology, infectious immunology, and genetic testing, and then into  </w:t>
        <w:br/>
        <w:t xml:space="preserve">additional subcategories within each of them.  </w:t>
        <w:br/>
        <w:t xml:space="preserve">1 See, for example, the decisions of the European Commission COMP/M.4321 – Siemens / Bayer  </w:t>
        <w:br/>
        <w:t xml:space="preserve">Diagnostics of October 31, 2006, COMP/M.4865 – Siemens / Dade Behring of October 25, 2007,  </w:t>
        <w:br/>
        <w:t xml:space="preserve">COMP/M.5661 – Abbott / Solvay Pharmaceuticals of February 11, 2010, COMP/M.6175 – Danaher /  </w:t>
        <w:br/>
        <w:t xml:space="preserve">Beckman Coulter of June 16, 2011, and COMP/M.6944 Thermo Fisher Scientific / Life Technologies  </w:t>
        <w:br/>
        <w:t xml:space="preserve">of November 26, 2013, as well as the decisions of the Competition Authority No. 10-DCC-78 of July  </w:t>
        <w:br/>
        <w:t xml:space="preserve">19, 2010, regarding the acquisition of Cerba European Lab SAS by PAI Partners SAS and No. 15-DCC-18  </w:t>
        <w:br/>
        <w:t xml:space="preserve">of March 2, 2015, regarding the acquisition of Novescia SAS by Cerba European Lab SAS.  </w:t>
        <w:br/>
        <w:t xml:space="preserve">2  </w:t>
        <w:br/>
        <w:t xml:space="preserve">8. The decisional practice further considers that the geographical dimension of the markets for the  </w:t>
        <w:br/>
        <w:t xml:space="preserve">supply of biological equipment, reagents, and consumables could be European or even global in scope.  </w:t>
        <w:br/>
        <w:t xml:space="preserve">While leaving the question open, it has also examined, in previous operations, the effects on the  </w:t>
        <w:br/>
        <w:t xml:space="preserve">network of suppliers and wholesalers at the national level only.  </w:t>
        <w:br/>
        <w:t xml:space="preserve">9. The notifying party considers that this market is global in scope given the global dimension of most  </w:t>
        <w:br/>
        <w:t xml:space="preserve">suppliers such as Roche, Abbott, Siemens, BioMérieux, VWR International, Agilent Technologies, etc.  </w:t>
        <w:br/>
        <w:t xml:space="preserve">However, the notifying party has provided an estimate of the share of purchases of the new entity at the  </w:t>
        <w:br/>
        <w:t xml:space="preserve">national level.  </w:t>
        <w:br/>
        <w:t xml:space="preserve">10. In any case, the question of the exact delimitation of the markets for the supply of biological  </w:t>
        <w:br/>
        <w:t xml:space="preserve">equipment, reagents, and consumables can be left open insofar as, regardless of the delimitation  </w:t>
        <w:br/>
        <w:t xml:space="preserve">adopted, the conclusions of the competitive analysis will remain unchanged.  </w:t>
        <w:br/>
        <w:t xml:space="preserve">III. Competitive analysis  </w:t>
        <w:br/>
        <w:t xml:space="preserve">11. The notifying party has communicated the amounts of purchases by Eurofins and Bio-Access in  </w:t>
        <w:br/>
        <w:t xml:space="preserve">2014, without being able to provide a precise assessment of the total market. However, it estimates that  </w:t>
        <w:br/>
        <w:t xml:space="preserve">the combined purchases of the parties represent less than [0-5]% of the total purchases of biological  </w:t>
        <w:br/>
        <w:t xml:space="preserve">equipment, reagents, and consumables at the global level and less than [5-10]% at the national level,  </w:t>
        <w:br/>
        <w:t xml:space="preserve">regardless of the category of products concerned.  </w:t>
        <w:br/>
        <w:t xml:space="preserve">12. Therefore, the transaction is not likely to harm competition in the market for the supply of  </w:t>
        <w:br/>
        <w:t xml:space="preserve">biological equipment, reagents, and consumables.  </w:t>
        <w:br/>
        <w:t xml:space="preserve">2 See the aforementioned decisions.  </w:t>
        <w:br/>
        <w:t>3</w:t>
      </w:r>
    </w:p>
    <w:p>
      <w:r>
        <w:rPr>
          <w:b/>
        </w:rPr>
        <w:t>[Pages 4–4]</w:t>
      </w:r>
    </w:p>
    <w:p>
      <w:r>
        <w:t xml:space="preserve">DECIDES  </w:t>
        <w:br/>
        <w:t xml:space="preserve">Sole Article: The notified transaction under number 15-095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