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https://www.autoritedelaconcurrence.fr/fr/decision-de-controle-des-concentrations/relative-la-prise-de-controle-exclusif-de-la-societe-bio-1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18-DCC-09 of January 12, 2018</w:t>
        <w:br/>
        <w:t>regarding the exclusive control acquisition of the company Bio Paris Ouest by</w:t>
        <w:br/>
        <w:t>the company Biogroup LCD</w:t>
        <w:br/>
        <w:t>The Competition Authority,</w:t>
        <w:br/>
        <w:t>Having regard to the complete notification file submitted to the mergers department on</w:t>
        <w:br/>
        <w:t>December 21, 2017, concerning the exclusive control acquisition of the company Bio Paris Ouest by the</w:t>
        <w:br/>
        <w:t>company Biogroup LCD, formalized by a memorandum of understanding dated December 20, 2017;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by the company Biogroup LCD of the</w:t>
        <w:br/>
        <w:t>company Bio Paris Ouest, which is active in the medical biology markets. It</w:t>
        <w:br/>
        <w:t>constitutes a concentration within the meaning of Article L. 430-1 of the Commercial Code. Given</w:t>
        <w:br/>
        <w:t>the turnover generated by the companies concerned, the operation does not fall under the</w:t>
        <w:br/>
        <w:t>jurisdiction of the European Union. On the other hand, the control thresholds mentioned in I of</w:t>
        <w:br/>
        <w:t>Article L. 430-2 of the Commercial Code are exceeded. The present operation is therefore subject</w:t>
        <w:br/>
        <w:t>to the provisions of Articles L. 430-3 and following of the Commercial Code relating to</w:t>
        <w:br/>
        <w:t>economic concentration.</w:t>
        <w:br/>
        <w:t>2. The markets concerned by the operation are the markets for medical biology analysis services and, upstream, the markets for the supply of equipment, reagents, and consumables for biology.</w:t>
        <w:br/>
        <w:t>3. Regardless of the segmentations of these markets retained, the combined market shares of the parties are below 15%.</w:t>
        <w:br/>
        <w:t>4. Considering the elements of the file and in particular point 384 of the guidelines of</w:t>
        <w:br/>
        <w:t>the Competition Authority relating to the control of concentrations, the operation is not</w:t>
        <w:br/>
        <w:t>likely to harm competition.</w:t>
      </w:r>
    </w:p>
    <w:p>
      <w:r>
        <w:t>DECIDES</w:t>
        <w:br/>
        <w:t>Sole Article: The operation notified under number 17-285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