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https://www.autoritedelaconcurrence.fr/fr/decision-de-controle-des-concentrations/relative-la-prise-de-controle-exclusif-de-la-societe-bio</w:t>
      </w:r>
    </w:p>
    <w:p>
      <w:r>
        <w:t>Pages translated : 8</w:t>
      </w:r>
    </w:p>
    <w:p/>
    <w:p>
      <w:r>
        <w:rPr>
          <w:b/>
        </w:rPr>
        <w:t>[Pages 1–3]</w:t>
      </w:r>
    </w:p>
    <w:p>
      <w:r>
        <w:t>FRENCH REPUBLIC</w:t>
        <w:br/>
        <w:t>Decision No. 15-DCC-135 of October 7, 2015</w:t>
        <w:br/>
        <w:t>regarding the exclusive control of Bio Alfras</w:t>
        <w:br/>
        <w:t>(Biomnis group) by Eurofins</w:t>
        <w:br/>
        <w:t>The Competition Authority,</w:t>
        <w:br/>
        <w:t>Having regard to the notification file submitted in full to the merger service on</w:t>
        <w:br/>
        <w:t>September 3, 2015, concerning the exclusive control of Bio Alfras (Biomnis Group) by Eurofins, formalized by a transfer agreement dated</w:t>
        <w:br/>
        <w:t>August 31, 2015;</w:t>
        <w:br/>
        <w:t>Having regard to Book IV of the Commercial Code relating to price and competition freedom, and</w:t>
        <w:br/>
        <w:t>notably its Articles L. 430-1 to L. 430-7;</w:t>
        <w:br/>
        <w:t>Having regard to the supplementary elements transmitted by the parties during the investigation;</w:t>
        <w:br/>
        <w:t>Adopts the following decision:</w:t>
        <w:br/>
        <w:t>I. The concerned companies and the operation</w:t>
        <w:br/>
        <w:t>1. Eurofins is the parent company of the Eurofins group (hereinafter "Eurofins"), active in the management of laboratories specialized in providing services for analyses, tests, and technical inspections, particularly bio-analyses services for private companies and public organizations, mainly in the pharmaceutical, food industry, and retail sectors, as well as in the environmental field. Eurofins also engages in forensic analysis, agro-science, and non-food consumer goods, as well as routine medical biology analyses through a network of […] medical biology sites in France located in the regions of Brittany, Provence-Alpes-Côte-D’azur, Rhône-Alpes, and French Guiana. Eurofins operates an international network of […] laboratories spread across […] countries, including […] in France, conducting activities in agri-food, environmental, preclinical, and clinical analyses, as well as forensic analyses. The individuals comprising the Martin family hold, directly and indirectly via Analytical Bioventures SCA, […]% of the shares and […]% of the voting rights of Eurofins. They do not control any other company. The remainder of Eurofins' capital is floating.</w:t>
        <w:br/>
        <w:t>2. Bio Alfras is the company at the head of the Biomnis group. This group is composed of different companies active in the medical biology analysis sector and a purchasing center, the company Socamed, intended for supplying the group's medical analysis laboratories with equipment, reagents, and biology consumables. The Biomnis group is engaged in providing medical biology analysis services, mainly specialized analyses, conducted by the Biomnis Laboratory, which has […] technical platforms in Ivry-sur-Seine and Lyon. Routine medical biology analyses are performed by […] laboratories located in Bordeaux ([…] sites), Lyon ([…] sites), and Île-de-France (Paris Center ([…] sites) and Paris South ([…] sites)). It also marginally conducts forensic analyses as well as clinical research activities.</w:t>
        <w:br/>
        <w:t>3. The notified operation, formalized by a transfer agreement dated August 31, 2015, provides for the acquisition by Eurofins of all the shares comprising the share capital of Bio Alfras. Eurofins will thus be able to exercise sole decisive influence over Bio Alfras and its subsidiaries, and therefore over the Biomnis group.</w:t>
        <w:br/>
        <w:t>4. As it results in the exclusive control of Bio Alfras, and thus of the Biomnis group, by Eurofins, the operation constitutes a concentration within the meaning of Article L. 430-1 of the Commercial Code.</w:t>
        <w:br/>
        <w:t>5. The concerned companies together achieve a total turnover excluding taxes on a global scale of more than 150 million euros (Eurofins: 1.4 billion euros for the fiscal year ending December 31, 2014; Biomnis: 234 million euros for the fiscal year ending December 31, 2014). These companies achieved in France a turnover exceeding 50 million euros (Eurofins: […] euros for the fiscal year ending December 31, 2014; Biomnis: […] euros for the fiscal year ending December 31, 2014). Given these turnover figures,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w:t>
        <w:br/>
        <w:t>II. Delimitation of relevant markets</w:t>
        <w:br/>
        <w:t>6. The parties to the operation are simultaneously present in the medical biology sector. Eurofins owns medical analysis laboratories whose activity consists of providing routine medical biology examination services, while Biomnis primarily engages in specialized medical biology analysis activities. They also engage in ancillary activities of forensic biological analyses, particularly genetic fingerprints.</w:t>
        <w:br/>
        <w:t>7. The parties to the operation are also both active in the market for the supply of equipment, reagents, and biology consumables, where they operate as buyers.</w:t>
      </w:r>
    </w:p>
    <w:p>
      <w:r>
        <w:t>A. MARKETS FOR MEDICAL BIOLOGY EXAMINATION SERVICES</w:t>
        <w:br/>
        <w:t>1. SERVICE MARKETS</w:t>
        <w:br/>
        <w:t>8. National and European competition authorities have identified a market for the provision of medical biology analyses. They have also considered, while leaving the question open, a segmentation between "routine" or specialized examinations. Decision-making practice indeed notes that the activity of routine medical biology laboratories is not substitutable with that of specialized laboratories, which handle rare biology acts and are subject to specific ministerial approval.</w:t>
        <w:br/>
        <w:t>9. Medical biology examinations must be performed by a medical biologist or under their responsibility within a medical biology laboratory (hereinafter, "MBL"). The rates for medical biology acts are set by a tripartite agreement between the National Health Insurance Fund, the State, and the representative unions of MBL directors based on a "nomenclature of acts" that is binding on prescribers regarding compliance with medical indications that condition coverage by health insurance organizations as well as on MBLs.</w:t>
        <w:br/>
        <w:t>10. The demand for routine medical biology examinations primarily comes from patients, while the demand for specialized examinations comes from MBLs and hospitals. Consumers are free to have their medical biology analyses performed in private MBLs or in MBLs located in a hospital establishment (health establishment, hospitals, university hospital centers).</w:t>
        <w:br/>
        <w:t>11. The supply of specialized medical biology analyses comes from only a few laboratories such as Cerba European Labs (hereinafter "CEL"), Biomnis, BPR, and university hospital centers. It consists of the provision of subcontracting services entrusted by MBLs, within the limit of 15% of the total activities of the MBL.</w:t>
        <w:br/>
        <w:t>12. In this case, the question of the exact definition of these markets can, however, be left open, as the conclusions of the analysis will remain unchanged regardless of the delimitation retained.</w:t>
        <w:br/>
        <w:t>2. GEOGRAPHICAL MARKETS</w:t>
        <w:br/>
        <w:t>13. Decision-making practice has considered, while leaving the question open, to retain a national dimension for the market of specialized medical biology analyses and a local dimension for the market of routine medical biology analyses. Thus, the competition authorities have examined the effects of the operation in this sector at the regional or sub-regional level, even at the departmental level.</w:t>
        <w:br/>
        <w:t>14. In this case, the question of the exact geographical delimitation of the medical biology analysis markets can, however, be left open as the conclusions of the analysis will remain unchanged, regardless of the delimitation retained.</w:t>
      </w:r>
    </w:p>
    <w:p>
      <w:r>
        <w:rPr>
          <w:b/>
        </w:rPr>
        <w:t>[Pages 4–6]</w:t>
      </w:r>
    </w:p>
    <w:p>
      <w:r>
        <w:t>B. THE MARKET FOR FORENSIC ANALYSES</w:t>
        <w:br/>
        <w:t>1. SERVICE MARKETS</w:t>
        <w:br/>
        <w:t>15. Forensic analysis constitutes a specific product offering, not substitutable with other medical analyses. Thus, the notifying party indicates that forensic analysis activities are distinguished from medical biology analyses due to the type of analyses performed. Forensic analyses would thus include genetic fingerprint analyses, fingerprint analyses, toxicological analyses, and ballistic analyses. These different specialties do not cover substitutable analyses and could constitute additional market segmentations. In this case, the parties to the operation are simultaneously active in the segment of forensic genetic fingerprint analyses, whose offering is limited due to regulatory constraints.</w:t>
      </w:r>
    </w:p>
    <w:p>
      <w:r>
        <w:t>16. Demand is also specific to this sector as it primarily comes from agents of the Ministry of Justice, magistrates, and judicial police officers within the framework of judicial expertise. Furthermore, this activity, unlike other forensic medicine activities, requires specific approval. Registration as an expert with a Court of Appeal or a Court of Cassation is required for many forensic analyses (genetic, digital, toxicological, and ballistic fingerprints).</w:t>
      </w:r>
    </w:p>
    <w:p>
      <w:r>
        <w:t>17. The question of the exact delimitation of the forensic analysis market will, however, be left open, with the conclusions of the competitive analysis remaining unchanged regardless of the delimitation adopted.</w:t>
      </w:r>
    </w:p>
    <w:p>
      <w:r>
        <w:t>2. GEOGRAPHICAL MARKETS</w:t>
        <w:br/>
        <w:t>18. The notifying party considers that this market is of national dimension, given the regulatory constraints related to this type of activity.</w:t>
      </w:r>
    </w:p>
    <w:p>
      <w:r>
        <w:t>19. The question of the exact geographical delimitation of this market will be left open, with the conclusions of the competitive analysis remaining unchanged, regardless of the delimitation adopted.</w:t>
      </w:r>
    </w:p>
    <w:p>
      <w:r>
        <w:t>C. THE MARKET FOR SUPPLYING EQUIPMENT, REAGENTS, AND BIOLOGY CONSUMABLES</w:t>
        <w:br/>
        <w:t>1. PRODUCT MARKETS</w:t>
        <w:br/>
        <w:t>20. Decision-making practice has considered segmenting the market for the supply of laboratory equipment, reagents, and consumables into nearly as many sectors of activity as there are products or consumables involved in the analyses (culture media and serums, products to activate genes, magnetic beads, etc.). The European Commission has thus adopted the classification of in vitro diagnostic products used by the European Diagnostic Manufacturers Association ("EDMA"), which classifies reagents and consumables into six main categories ("first level"): clinical chemistry, immunochemistry, hematology/histology, microbiology, infectious immunology, and genetic tests, and then into additional subcategories within each of them.</w:t>
      </w:r>
    </w:p>
    <w:p>
      <w:r>
        <w:t>21. In any case, the question of the exact definition of the markets for supplying medical equipment can be left open insofar as, regardless of the delimitation adopted, the conclusions of the competitive analysis will remain unchanged.</w:t>
      </w:r>
    </w:p>
    <w:p>
      <w:r>
        <w:t>2. GEOGRAPHICAL MARKETS</w:t>
        <w:br/>
        <w:t>22. Decision-making practice considers that the geographical dimension of the markets for supplying equipment, reagents, and biology consumables could be of European or even global dimension. While leaving the question open, it also examined the effects of concentrations on supplier and wholesaler networks at the national level only.</w:t>
      </w:r>
    </w:p>
    <w:p>
      <w:r>
        <w:t>23. The notifying party considers that this market is of global dimension as most suppliers (Roche, Abbott, Siemens, BioMérieux, VWWR International, Agilent Technologies, or Danaher (Beckman Coulter)) target the same type of clients worldwide, primarily MBLs and hospital establishments, which present the same technical and commercial needs. Finally, transportation costs would not be significant in this sector.</w:t>
      </w:r>
    </w:p>
    <w:p>
      <w:r>
        <w:t>24. The question of the exact delimitation of the markets for supplying equipment, reagents, and biology consumables can, however, be left open, with the conclusions of the competitive analysis remaining unchanged regardless of the delimitation adopted.</w:t>
      </w:r>
    </w:p>
    <w:p>
      <w:r>
        <w:t>III. Competitive Analysis</w:t>
        <w:br/>
        <w:t>A. MARKET FOR SUPPLYING EQUIPMENT, REAGENTS, AND BIOLOGY CONSUMABLES</w:t>
        <w:br/>
        <w:t>25. The parties to the operation are involved in the market for supplying equipment, reagents, and biology consumables as buyers for their own needs. The operation, by consolidating their purchasing position, leads to horizontal effects. However, the parties are not active as resellers of equipment, reagents, and biology consumables; consequently, the operation does not lead to any vertical strengthening of activity.</w:t>
      </w:r>
    </w:p>
    <w:p>
      <w:r>
        <w:t>26. Regarding the parties' purchasing position, the notifying party indicates that the combined supplies of Eurofins and Biomnis in this market amounted to […] euros in 2014, of which […] euros in France. It also indicates sourcing directly from large global manufacturers whose activities generated a turnover in France of 1.43 billion euros in 2013. The notifying party thus estimates that the new entity would have a market share of [5-10]% in the French supply market, regardless of the category of products considered. The share of purchases of the new entity would also be lower at the European or global level, regardless of the category of products considered, as Biomnis and Bio-Access primarily source in France.</w:t>
      </w:r>
    </w:p>
    <w:p>
      <w:r>
        <w:t>27. Therefore, the operation is not likely to harm competition in the market for supplying equipment, reagents, and biology consumables.</w:t>
      </w:r>
    </w:p>
    <w:p>
      <w:r>
        <w:t>B. MARKETS FOR MEDICAL BIOLOGY ANALYSES</w:t>
        <w:br/>
        <w:t>28. In the overall market for medical biology analyses, the notifying party estimates that Eurofins and Biomnis would represent [0-5]% and [0-5]% of the French market, respectively, behind Unilabs ([10-20]%), Labco ([10-20]%), CEL ([10-20]%), Labster ([5-10]%), and Somabio ([0-5]%). Thus, the new entity would have an estimated market share of [5-10]% in a relatively fragmented market.</w:t>
      </w:r>
    </w:p>
    <w:p>
      <w:r>
        <w:t>29. Eurofins and Biomnis operate respectively […] and […] MBL sites in France. The notifying party indicates that approximately 2,500 medical biology companies operate nearly 4,000 MBL sites in France, in addition to health establishments (hospitals and clinics).</w:t>
      </w:r>
    </w:p>
    <w:p>
      <w:r>
        <w:t>30. Therefore, the operation is not likely to harm competition in the national market for medical biology analyses.</w:t>
      </w:r>
    </w:p>
    <w:p>
      <w:r>
        <w:t>1. MARKET FOR ROUTINE MEDICAL BIOLOGY ANALYSES</w:t>
        <w:br/>
        <w:t>31. In the French market for routine medical biology analyses, the notifying party estimates that Eurofins and Biomnis would have a combined market share of [0-5]% (respectively [0-5]% and [0-5]%), behind Unilabs ([10-20]%), Labco ([10-20]%), CEL ([5-10]%), Labster ([5-10]%), and Somabio ([0-5]%).</w:t>
      </w:r>
    </w:p>
    <w:p>
      <w:r>
        <w:t>32. At the regional level, the parties to the operation are simultaneously present in the Rhône-Alpes region, with a combined estimated market share of [5-10]% ([0-5]% for Eurofins and [0-5]% for Biomnis). The operation does not present any overlap of activity at the departmental level.</w:t>
      </w:r>
    </w:p>
    <w:p>
      <w:r>
        <w:rPr>
          <w:b/>
        </w:rPr>
        <w:t>[Pages 7–8]</w:t>
      </w:r>
    </w:p>
    <w:p>
      <w:r>
        <w:t>33. Consequently, the operation is not likely to harm competition in the market for routine medical biology analyses.</w:t>
      </w:r>
    </w:p>
    <w:p>
      <w:r>
        <w:t>2. MARKET FOR SPECIALIZED MEDICAL BIOLOGY ANALYSES</w:t>
        <w:br/>
        <w:t>34. The operation has vertical effects insofar as the activity of specialized medical biology laboratories, such as Biomnis, corresponds to rare biology acts that MBLs must subcontract to them. To the extent that the parties operate as MBLs, the operation strengthens the vertical integration of the new entity.</w:t>
      </w:r>
    </w:p>
    <w:p>
      <w:r>
        <w:t>35. A vertical concentration can restrict competition by making access to the markets in which the new entity will be active more difficult, or even potentially excluding competitors or penalizing them through increased costs. The Authority thus considers that it is unlikely that a company with a market share of less than 30% in a given market could lock in a downstream or upstream market.</w:t>
      </w:r>
    </w:p>
    <w:p>
      <w:r>
        <w:t>36. In this case, Biomnis has an estimated market share of [50-60]% in the market for specialized medical biology analyses. Its main competitor will remain CEL with [40-50]%. A locking strategy whereby Biomnis would restrict access to the market for specialized medical biology examinations for Eurofins' competitors who subcontract this type of service must therefore be considered, in light of the capacity and incentive of the new entity to implement it, as well as the competitive effect of such behavior, these three elements remaining closely linked.</w:t>
      </w:r>
    </w:p>
    <w:p>
      <w:r>
        <w:t>37. Such a strategy is, however, unlikely in this case. In particular, it should be noted that Eurofins' only demand for specialized medical biology examinations (via Bio-Access, which represents […] euros in 2014, or less than […]% of Biomnis' revenue) is very largely insufficient to incentivize Biomnis, which generates […] euros in revenue in this market, to reserve its services for Eurofins to the detriment of its competitors. It follows that, given the importance of Biomnis' revenue generated from Eurofins' competitors and the inability to compensate for losses incurred in the event of an exclusion attempt, such a scenario is not probable.</w:t>
      </w:r>
    </w:p>
    <w:p>
      <w:r>
        <w:t>38. Moreover, to the extent that Bio-Access already subcontracts almost all of its specialized medical biology analyses to Biomnis, the operation will not have a significant effect on the market for specialized medical biology examinations.</w:t>
      </w:r>
    </w:p>
    <w:p>
      <w:r>
        <w:t>39. The operation is therefore not likely to harm competition through vertical effects in these markets.</w:t>
      </w:r>
    </w:p>
    <w:p>
      <w:r>
        <w:t>C. MARKET FOR FORENSIC ANALYSES</w:t>
        <w:br/>
        <w:t>40. In a potential market for forensic analyses, the notifying party estimates that the new entity would have a market share of [10-20]% ([10-20]% for Eurofins and [0-5]% for Biomnis). It indicates that competitive pressure on service prices is very strong: private and public market players are assigned analyses through calls for tenders or direct contacts from magistrates and judicial police officers or gendarmes. The timeframes for conducting tests may vary according to the legal deadlines in which requests occur (24 to 48 hours of police custody or during investigation).</w:t>
      </w:r>
    </w:p>
    <w:p>
      <w:r>
        <w:t>Finally, the laboratories of the judicial police and gendarmerie constitute a major operator in the forensic analysis sector with more than […] euros in revenue, followed by seven operators, including the parties to the operation, with revenues ranging from […] to […] euros approximately. Private players in this sector would therefore be subject to the price constraints represented by the pricing schedules of the police and gendarmerie, in addition to the budgetary constraints of the Ministry of Justice.</w:t>
      </w:r>
    </w:p>
    <w:p>
      <w:r>
        <w:t>41. Regarding the potential segment of genetic fingerprint analyses, the notifying party was unable to estimate its market shares. However, it identified the main operators: police and gendarmerie ([…] euros in revenue), Carso ([…] euros), Pr Doutremepuich ([…] euros), Eurofins ([…] euros), and Biomnis ([…] euros). The parties to the operation would therefore each have a market share of less than [0-5]%.</w:t>
      </w:r>
    </w:p>
    <w:p>
      <w:r>
        <w:t>42. Consequently, the operation is not likely to harm competition in the market for forensic analyses.</w:t>
      </w:r>
    </w:p>
    <w:p>
      <w:r>
        <w:t>DECIDES</w:t>
        <w:br/>
        <w:t>Sole Article: The operation notified under number 15-132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