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https://www.autoritedelaconcurrence.fr/fr/decision-de-controle-des-concentrations/relative-la-prise-de-controle-exclusif-de-la-societe-biolab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22-DCC-168 of September 7, 2022  </w:t>
        <w:br/>
        <w:t xml:space="preserve">regarding the exclusive control acquisition of the company Biolab Martinique  </w:t>
        <w:br/>
        <w:t xml:space="preserve">by the Cerba group  </w:t>
        <w:br/>
        <w:t xml:space="preserve">The Competition Authority,  </w:t>
        <w:br/>
        <w:t xml:space="preserve">Having regard to the notification file submitted complete to the mergers department on August 23, 2022,  </w:t>
        <w:br/>
        <w:t xml:space="preserve">concerning the exclusive control acquisition of the company Biolab Martinique by the Cerba group,  </w:t>
        <w:br/>
        <w:t xml:space="preserve">formalized by a memorandum of understanding signed on August 5,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Biolab Martinique by  </w:t>
        <w:br/>
        <w:t xml:space="preserve">the Cerba group. These companies are active in the medical biology sector. It constitutes  </w:t>
        <w:br/>
        <w:t xml:space="preserve">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III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22-184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