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https://www.autoritedelaconcurrence.fr/fr/decision-de-controle-des-concentrations/relative-la-prise-de-controle-exclusif-de-la-societe-bladis</w:t>
      </w:r>
    </w:p>
    <w:p>
      <w:r>
        <w:t>Pages translated : 2</w:t>
      </w:r>
    </w:p>
    <w:p/>
    <w:p>
      <w:r>
        <w:rPr>
          <w:b/>
        </w:rPr>
        <w:t>[Pages 1–2]</w:t>
      </w:r>
    </w:p>
    <w:p>
      <w:r>
        <w:t xml:space="preserve">FRENCH REPUBLIC  </w:t>
        <w:br/>
        <w:t xml:space="preserve">Decision No. 17-DCC-112 of July 25, 2017  </w:t>
        <w:br/>
        <w:t xml:space="preserve">regarding the exclusive control acquisition of the company Bladis by the company  </w:t>
        <w:br/>
        <w:t xml:space="preserve">Erteco (Carrefour group)  </w:t>
        <w:br/>
        <w:t xml:space="preserve">The Competition Authority,  </w:t>
        <w:br/>
        <w:t xml:space="preserve">Having regard to the complete notification file sent to the mergers department on July 4, 2017,  </w:t>
        <w:br/>
        <w:t xml:space="preserve">concerning the exclusive control acquisition of the company Bladis by the company Erteco, and formalized  </w:t>
        <w:br/>
        <w:t xml:space="preserve">by a transactional agreement and share transfer protocol dated April 21,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Bladis, operating 139  </w:t>
        <w:br/>
        <w:t xml:space="preserve">"fruits and vegetables" spaces within stores under the Carrefour brand in the south of France, by the company Erteco (Carrefour Group), which is itself active in the retail trade predominantly in food.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17-082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