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https://www.autoritedelaconcurrence.fr/fr/decision-de-controle-des-concentrations/relative-la-prise-de-controle-exclusif-de-la-societe-bonhom</w:t>
      </w:r>
    </w:p>
    <w:p>
      <w:r>
        <w:t>Pages translated : 2</w:t>
      </w:r>
    </w:p>
    <w:p/>
    <w:p>
      <w:r>
        <w:rPr>
          <w:b/>
        </w:rPr>
        <w:t>[Pages 1–2]</w:t>
      </w:r>
    </w:p>
    <w:p>
      <w:r>
        <w:t xml:space="preserve">FRENCH REPUBLIC  </w:t>
        <w:br/>
        <w:t xml:space="preserve">Decision No. 13-DCC-175 of November 29, 2013  </w:t>
        <w:br/>
        <w:t xml:space="preserve">regarding the exclusive control acquisition of Bonhom SAS by  </w:t>
        <w:br/>
        <w:t xml:space="preserve">Centerbridge Partners LP  </w:t>
        <w:br/>
        <w:t xml:space="preserve">The Competition Authority,  </w:t>
        <w:br/>
        <w:t xml:space="preserve">Having regard to the complete notification file submitted to the mergers department on October 29, 2013, concerning the exclusive control acquisition of Bonhom SAS by Centerbridge Partners LP, formalized by a Term Sheet dated September 23, 2013;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Bonhom SAS, at the head of the Frans Bonhom group, active in the sector of plastic pipe and fitting distribution, by the portfolio management company Centerbridge Partners LP. It constitutes a concentration operation within the meaning of Article L. 430-1 of the Commercial Code. Given the turnover achieved by the companies concerned, the operation does not have a community dimension.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13-198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