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https://www.autoritedelaconcurrence.fr/fr/decision-de-controle-des-concentrations/relative-la-prise-de-controle-exclusif-de-la-societe-bp</w:t>
      </w:r>
    </w:p>
    <w:p>
      <w:r>
        <w:t>Pages translated : 2</w:t>
      </w:r>
    </w:p>
    <w:p/>
    <w:p>
      <w:r>
        <w:rPr>
          <w:b/>
        </w:rPr>
        <w:t>[Pages 1–2]</w:t>
      </w:r>
    </w:p>
    <w:p>
      <w:r>
        <w:t xml:space="preserve">FRENCH REPUBLIC  </w:t>
        <w:br/>
        <w:t xml:space="preserve">Decision No. 20-DCC-130 of September 18, 2020  </w:t>
        <w:br/>
        <w:t xml:space="preserve">regarding the exclusive control acquisition of BP Holding by the  </w:t>
        <w:br/>
        <w:t xml:space="preserve">Compagnie de Distribution Européenne  </w:t>
        <w:br/>
        <w:t xml:space="preserve">The Competition Authority,  </w:t>
        <w:br/>
        <w:t xml:space="preserve">Having regard to the complete notification file submitted to the mergers department on August 24, 2020, concerning the exclusive control acquisition of BP Holding by the Compagnie de Distribution Européenne, formalized by a share transfer agreement dated July 31,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BP Holding, active in the online sale of DIY products, by the Compagnie de Distribution Européenne, which is 100% owned by ITM Entreprises, which operates the retail networks under the Bricomarché, Bricorama, Brico Cash, and Batkor brands. It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20-141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