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https://www.autoritedelaconcurrence.fr/fr/decision-de-controle-des-concentrations/relative-la-prise-de-controle-exclusif-de-la-societe-bridis</w:t>
      </w:r>
    </w:p>
    <w:p>
      <w:r>
        <w:t>Pages translated : 4</w:t>
      </w:r>
    </w:p>
    <w:p/>
    <w:p>
      <w:r>
        <w:rPr>
          <w:b/>
        </w:rPr>
        <w:t>[Pages 1–3]</w:t>
      </w:r>
    </w:p>
    <w:p>
      <w:r>
        <w:t>FRENCH REPUBLIC</w:t>
        <w:br/>
        <w:t>Decision No. 14-DCC-121 of August 19, 2014</w:t>
        <w:br/>
        <w:t>regarding the exclusive control of the company Bridis by the company</w:t>
        <w:br/>
        <w:t>Système U Centrale Régionale Nord-Ouest</w:t>
        <w:br/>
        <w:t>The Competition Authority,</w:t>
        <w:br/>
        <w:t>Having regard to the notification file submitted in full to the merger service on July 29, 2014,</w:t>
        <w:br/>
        <w:t>regarding the exclusive control of the company Bridis by the company Système U Centrale</w:t>
        <w:br/>
        <w:t>Régionale Nord-Ouest, as formalized by a memorandum of understanding dated September 29,</w:t>
        <w:br/>
        <w:t>2008, and two amendments to this memorandum dated April 2, 2009, and April 16, 2014;</w:t>
        <w:br/>
        <w:t>Having regard to Book IV of the Commercial Code relating to the freedom of prices and competition, and</w:t>
        <w:br/>
        <w:t>notably its Articles L. 430-1 to L. 430-7;</w:t>
        <w:br/>
        <w:t>Adopts the following decision:</w:t>
        <w:br/>
        <w:t>I. The companies concerned and the operation</w:t>
        <w:br/>
        <w:t>1. Système U Centrale Régionale Nord-Ouest is a cooperative company of</w:t>
        <w:br/>
        <w:t>retail merchants. Active in the northwest of France, it is one of the four regional cooperatives of the Système U cooperative group. Its partners are independent merchants, each owning their store, who operate stores under the Hyper U (71 stores), Super U (773 stores), Marché U (11 stores),</w:t>
        <w:br/>
        <w:t>U Express (294 stores), and Utile (410 stores) brands.</w:t>
        <w:br/>
        <w:t>2. Bridis is a simplified joint-stock company under French law active in food distribution. It owns a hypermarket business with a sales area of 6,000 m² under the Hyper U brand located in Brie-Comte-Robert (77). The capital of the company Bridis is currently held 50% by the company Bob-dis and 50% by Système U Centrale Régionale Nord-Ouest, which holds joint control prior to the operation. The operation of the Hyper U business in Brie-Comte-Robert is currently leased to Bob-dis, a contract that will, however, be terminated before the completion of the operation, with Bridis taking over the management of the business.</w:t>
        <w:br/>
        <w:t>3. The notified operation, formalized by a memorandum of understanding dated September 29, 2008, and its two amendments dated April 2, 2009, and April 16, 2014, consists of the acquisition by the company Système U Centrale Régionale Nord-Ouest of the entire capital of the company Bridis. As it results in the exclusive control of the company Bridis by Système U Centrale Régionale Nord-Ouest, the operation constitutes a concentration within the meaning of Article L. 430-1 of the Commercial Code.</w:t>
        <w:br/>
        <w:t>4. The companies concerned operate one or more retail stores and together achieve a total worldwide turnover of more than 75 million euros (Système U Centrale Régionale Nord-Ouest: [...] euros for the fiscal year ending December 31, 2013; Bob-dis: [...] euros for the same fiscal year). Each achieves in France in the retail sector a turnover exceeding 15 million euros (Système U Centrale Régionale Nord-Ouest: [...] euros for the fiscal year ending December 31, 2013; Bob-dis: [...] euros for the same fiscal year).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br/>
        <w:t>II. Delimitation of relevant markets</w:t>
        <w:br/>
        <w:t>5. According to the consistent practice of national and community competition authorities, two categories of markets can be delineated in the food retail sector. These are, on the one hand, the "downstream" markets, of a local dimension, which bring together retail businesses and consumers for the sale of consumer goods and, on the other hand, the "upstream" markets for supplying retail businesses with everyday consumer goods, of a national dimension.</w:t>
        <w:br/>
        <w:t>A. DOWNSTREAM MARKETS OF DISTRIBUTION</w:t>
        <w:br/>
        <w:t>1. SERVICE MARKETS</w:t>
        <w:br/>
        <w:t>6.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commerce, (iv) small retail commerce, (v) large discounters, (vi) mail order sales.</w:t>
        <w:br/>
        <w:t>7. Hypermarkets are usually defined as stores with a food predominance with a legal sales area equal to or greater than 2,500 m².</w:t>
        <w:br/>
        <w:t>8. In this case, the operation concerns a Hyper U store with a sales area of 6,000 m², which falls into the category of hypermarkets.</w:t>
        <w:br/>
        <w:t>1 See, for example, the decisions of the Competition Authority No. 10-DCC-185 of December 13, 2010, regarding the exclusive control of the company YBH by the company Système U Centrale Régionale Est, and No. 12-DCC-112 of August 3, 2012, regarding the exclusive control of the company SNC Schlecker by the company Système U Centrale Régionale Sud.</w:t>
      </w:r>
    </w:p>
    <w:p>
      <w:r>
        <w:t>2. GEOGRAPHICAL DELIMITATION</w:t>
        <w:br/>
        <w:t>9. In its recent decisions concerning operations involving hypermarkets or supermarkets, the Competition Authority has reiterated that, depending on the size of the stores involved, the conditions of competition must be assessed in two different areas:</w:t>
        <w:br/>
        <w:t>- a first market where the demand of consumers from an area meets the supply of hypermarkets accessible to them within less than 30 minutes by car and which are, from their perspective,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br/>
        <w:t>10. Other criteria may nevertheless be taken into account to assess the impact of a concentration on the competitive situation in retail distribution markets, which may lead to refining, in the specific case, the usual delimitations presented above.</w:t>
        <w:br/>
        <w:t>11. In this case, since the target store falls into the category of hypermarkets, the competitive analysis will be conducted on the market including hypermarkets within a 30-minute drive around Brie-Comte-Robert (77) as well as on the market including supermarkets and equivalent forms of commerce located within a 15-minute drive around Brie-Comte-Robert (77).</w:t>
        <w:br/>
        <w:t>B. UPSTREAM SUPPLY MARKETS</w:t>
        <w:br/>
        <w:t>12. Regarding supply markets, the European Commission has recognized the existence of national dimension markets by major product groups, a delimitation followed by national authorities.</w:t>
        <w:br/>
        <w:t>13. There is no need to challenge this delimitation in the context of the present operation.</w:t>
        <w:br/>
        <w:t>III. Competitive analysis</w:t>
        <w:br/>
        <w:t>A. DOWNSTREAM MARKETS OF FOOD-RELATED RETAIL DISTRIBUTION</w:t>
        <w:br/>
        <w:t>14. The operation does not result in any overlap of activity in the catchment area including supermarkets and equivalent forms of commerce located within a 15-minute drive around the target store, in the absence of other points of sale under the Système U brand. Furthermore, the target store, which represents [5-10]% of the sales areas in the area, faces competition from several operators, and</w:t>
      </w:r>
    </w:p>
    <w:p>
      <w:r>
        <w:rPr>
          <w:b/>
        </w:rPr>
        <w:t>[Pages 4–4]</w:t>
      </w:r>
    </w:p>
    <w:p>
      <w:r>
        <w:t>notably the stores operated under the Carrefour brand ([20-30]% of sales areas), Intermarché ([10-20]%) and Casino ([10-20]%).</w:t>
      </w:r>
    </w:p>
    <w:p>
      <w:r>
        <w:t>15. On the other hand, in the catchment area of 30 minutes around the target hypermarket, the operation results in an overlap of activities, with stores under the Système U brand representing [5-10]% market share (of which [0-5]% for the target store). In this area, the points of sale under the Système U brand will therefore continue to face competition from several operators, notably the stores operated under the Carrefour brand ([40-50]%), Auchan ([20-30]%) and Leclerc ([10-20]%).</w:t>
      </w:r>
    </w:p>
    <w:p>
      <w:r>
        <w:t>16. Consequently, the operation is not likely to harm competition in the relevant downstream markets.</w:t>
      </w:r>
    </w:p>
    <w:p>
      <w:r>
        <w:t>B. UPSTREAM SUPPLY MARKETS</w:t>
      </w:r>
    </w:p>
    <w:p>
      <w:r>
        <w:t>17. Regarding the upstream supply markets, since the target store is already a partner of Système U Centrale Régionale Nord-Ouest, the operation is not likely to significantly strengthen the purchasing power of the Système U group, across all products as well as by major product groups.</w:t>
      </w:r>
    </w:p>
    <w:p>
      <w:r>
        <w:t>18. Consequently, the operation is not likely to harm competition in the relevant upstream markets.</w:t>
      </w:r>
    </w:p>
    <w:p>
      <w:r>
        <w:t>DECIDES</w:t>
      </w:r>
    </w:p>
    <w:p>
      <w:r>
        <w:t>Sole Article: The operation notified under number 14-138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