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https://www.autoritedelaconcurrence.fr/fr/decision-de-controle-des-concentrations/relative-la-prise-de-controle-exclusif-de-la-societe-brient</w:t>
      </w:r>
    </w:p>
    <w:p>
      <w:r>
        <w:t>Pages translated : 9</w:t>
      </w:r>
    </w:p>
    <w:p/>
    <w:p>
      <w:r>
        <w:rPr>
          <w:b/>
        </w:rPr>
        <w:t>[Pages 1–3]</w:t>
      </w:r>
    </w:p>
    <w:p>
      <w:r>
        <w:t xml:space="preserve">FRENCH REPUBLIC  </w:t>
        <w:br/>
        <w:t xml:space="preserve">Decision No. 17-DCC-23 of February 17, 2017  </w:t>
        <w:br/>
        <w:t xml:space="preserve">regarding the exclusive control of the company Brient by  </w:t>
        <w:br/>
        <w:t>the agricultural cooperative Agrial</w:t>
      </w:r>
    </w:p>
    <w:p>
      <w:r>
        <w:t xml:space="preserve">The Competition Authority,  </w:t>
        <w:br/>
        <w:t xml:space="preserve">Having regard to the notification file submitted in full to the merger service on January 17, 2017,  </w:t>
        <w:br/>
        <w:t xml:space="preserve">regarding the acquisition by the agricultural cooperative Agrial of the company Brient, formalized by a  </w:t>
        <w:br/>
        <w:t xml:space="preserve">share transfer agreement dated January 6, 2017;  </w:t>
        <w:br/>
        <w:t xml:space="preserve">Having regard to Book IV of the Commercial Code relating to price freedom and competition, and  </w:t>
        <w:br/>
        <w:t xml:space="preserve">notably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Agrial is the parent company of the agricultural and agri-food cooperative group Agrial, which  </w:t>
        <w:br/>
        <w:t xml:space="preserve">brings together approximately 14,000 farms located mainly in 19 departments, from Normandy to the  </w:t>
        <w:br/>
        <w:t xml:space="preserve">south of the Loire and in the southeast of France. The Agrial group operates in several agricultural and  </w:t>
        <w:br/>
        <w:t xml:space="preserve">agri-food sectors: milk, meats, cereals, vegetables, beverages, etc. The cooperative also provides its  </w:t>
        <w:br/>
        <w:t xml:space="preserve">members with products and services such as seeds, animal feed, agro-supply, agricultural equipment,  </w:t>
        <w:br/>
        <w:t xml:space="preserve">and rural distribution. The Agrial cooperative holds a large number of subsidiaries active in these  </w:t>
        <w:br/>
        <w:t xml:space="preserve">various sectors. It particularly holds, through Agrial entreprise (which it owns at […] %) and then  </w:t>
        <w:br/>
        <w:t xml:space="preserve">Sofia BVA* (owned at […] % by Agrial entreprise), exclusive control over two companies, Cosme and  </w:t>
        <w:br/>
        <w:t xml:space="preserve">Maître Jacques, both active in the meat processing and marketing sector. Sofia BVA* holds […] % of  </w:t>
        <w:br/>
        <w:t xml:space="preserve">the capital of Maître Jacques and […] % of the capital of Cosme, over which it exercises, together with  </w:t>
        <w:br/>
        <w:t xml:space="preserve">the Cosme family, joint control.  </w:t>
        <w:br/>
        <w:t>* Correction of material error.</w:t>
      </w:r>
    </w:p>
    <w:p>
      <w:r>
        <w:t xml:space="preserve">2. Brient is a company active in the manufacturing and marketing of pork meats of the fourth  </w:t>
        <w:br/>
        <w:t xml:space="preserve">transformation, exclusively in charcuterie products. These products are marketed exclusively to large  </w:t>
        <w:br/>
        <w:t xml:space="preserve">scale retail (GMS), under the manufacturer's brand ("Brient") and under private label, to wholesalers  </w:t>
        <w:br/>
        <w:t xml:space="preserve">and operators in the out-of-home catering sector, as well as to operators in the agri-food industry.  </w:t>
        <w:br/>
        <w:t xml:space="preserve">Brient has two production sites in Ille-et-Vilaine and employs 400 employees.  </w:t>
        <w:br/>
        <w:t xml:space="preserve">3. Under the terms of a share transfer agreement dated January 6, 2017, the operation consists of  </w:t>
        <w:br/>
        <w:t xml:space="preserve">the acquisition of 100% of the capital and voting rights of Brient by the cooperative Agrial, through  </w:t>
        <w:br/>
        <w:t xml:space="preserve">the companies Agrial entreprise and Sofia BV. As it results in the exclusive control of Brient by Agrial,  </w:t>
        <w:br/>
        <w:t xml:space="preserve">the operation constitutes a concentration operation within the meaning of Article L. 430-1 of the  </w:t>
        <w:br/>
        <w:t xml:space="preserve">Commercial Code.  </w:t>
        <w:br/>
        <w:t xml:space="preserve">4. The concerned companies together achieve a total turnover excluding taxes on a global scale of  </w:t>
        <w:br/>
        <w:t xml:space="preserve">more than 150 million euros (Agrial: […] euros for the 2015 fiscal year; Brient: […] euros for the same  </w:t>
        <w:br/>
        <w:t xml:space="preserve">fiscal year). In France, the concerned companies achieved a turnover exceeding 50 million euros  </w:t>
        <w:br/>
        <w:t xml:space="preserve">(Agrial: […] euros; Brient: […] euros). Given these turnover figures, the operation does not fall under  </w:t>
        <w:br/>
        <w:t xml:space="preserve">the jurisdiction of the European Union. On the other hand, the control thresholds mentioned in I of  </w:t>
        <w:br/>
        <w:t xml:space="preserve">Article L. 430-2 of the Commercial Code are exceeded. This operation is therefore subject to the  </w:t>
        <w:br/>
        <w:t>provisions of Articles L. 430-3 and following of the Commercial Code relating to economic concentration.</w:t>
      </w:r>
    </w:p>
    <w:p>
      <w:r>
        <w:t xml:space="preserve">II. Definition of the relevant markets  </w:t>
        <w:br/>
        <w:t xml:space="preserve">5. In the meat processing and marketing sector, decision-making practice operates a segmentation  </w:t>
        <w:br/>
        <w:t xml:space="preserve">between the different stages of meat processing, which correspond to the cycle of handling animals and  </w:t>
        <w:br/>
        <w:t xml:space="preserve">their meat. The first transformation includes the collection of live animals for slaughter, after which  </w:t>
        <w:br/>
        <w:t xml:space="preserve">carcasses and by-products are obtained and sold. The second transformation includes the deboning and  </w:t>
        <w:br/>
        <w:t xml:space="preserve">cutting of carcasses. The third transformation consists of packaging meat ready to cook, intended for  </w:t>
        <w:br/>
        <w:t xml:space="preserve">the final consumer. Finally, the fourth transformation corresponds to the manufacturing of processed  </w:t>
        <w:br/>
        <w:t xml:space="preserve">meat products.  </w:t>
        <w:br/>
        <w:t xml:space="preserve">6. The parties are simultaneously active in the markets for pork charcuterie and salting, markets of  </w:t>
        <w:br/>
        <w:t xml:space="preserve">the fourth transformation (B). Through its subsidiary Cosme, Agrial is also present in the markets for  </w:t>
        <w:br/>
        <w:t xml:space="preserve">the second and third transformations (A). It is finally present in the fourth transformation market for  </w:t>
        <w:br/>
        <w:t xml:space="preserve">other types of meat than pork (mainly beef, veal, and poultry), through its subsidiary Maître Jacques,  </w:t>
        <w:br/>
        <w:t>as well as for processed products based on pork meat, excluding charcuterie salting (B).</w:t>
      </w:r>
    </w:p>
    <w:p>
      <w:r>
        <w:t xml:space="preserve">A. THE MARKETS FOR THE SECOND AND THIRD TRANSFORMATION  </w:t>
        <w:br/>
        <w:t xml:space="preserve">1. MARKET FOR PRODUCTS  </w:t>
        <w:br/>
        <w:t xml:space="preserve">7. "Meats from the second transformation" are defined as cut and/or deboned meats, often vacuum  </w:t>
        <w:br/>
        <w:t xml:space="preserve">packed for better preservation, and marketed to different types of customers, who will carry out  </w:t>
        <w:br/>
        <w:t xml:space="preserve">further processing of this merchandise for presentation for sale.  </w:t>
        <w:br/>
        <w:t xml:space="preserve">8. In terms of fresh meat, decision-making practice considers that there is a market for each animal  </w:t>
        <w:br/>
        <w:t xml:space="preserve">species. The market has also been segmented by distribution channels: GMS, BCA, IAA, and RHD.  </w:t>
        <w:br/>
        <w:t xml:space="preserve">9. Regarding specifically beef, decision-making practice has considered that it may be relevant to  </w:t>
        <w:br/>
        <w:t xml:space="preserve">distinguish between meat sold in the form of muscle and that sold in the form of trim. Muscle indeed  </w:t>
        <w:br/>
        <w:t xml:space="preserve">comes from the same animal and is generally intended for the production of meat cuts bearing different  </w:t>
        <w:br/>
        <w:t xml:space="preserve">names according to the muscle concerned (flank, chuck, etc.), while trim, which constitutes the raw  </w:t>
        <w:br/>
        <w:t xml:space="preserve">material for ground beef, is composed of a mix of various muscles and is often the result of mixing  </w:t>
        <w:br/>
        <w:t xml:space="preserve">meats from different animals.  </w:t>
        <w:br/>
        <w:t xml:space="preserve">10. Finally, concerning pork meat, decision-making practice has considered making the markets for  </w:t>
        <w:br/>
        <w:t xml:space="preserve">the second and third transformations a single market, while leaving the question open.  </w:t>
        <w:br/>
        <w:t xml:space="preserve">11. "Meats from the third transformation" are defined as ready-to-cook meats, packaged in the form of  </w:t>
        <w:br/>
        <w:t xml:space="preserve">Consumer Industrial Sales Units ("UVCI") and directly presentable for sale. The markets for meat from  </w:t>
        <w:br/>
        <w:t xml:space="preserve">the third transformation are segmented by species and by distribution channel.  </w:t>
        <w:br/>
        <w:t xml:space="preserve">12. Regarding beef sold under UVCI, decision-making practice has considered that ground beef  </w:t>
        <w:br/>
        <w:t xml:space="preserve">constitutes a particular category of products, given the predominant place it occupies in total beef sales.  </w:t>
        <w:br/>
        <w:t xml:space="preserve">Moreover, it has made a distinction between fresh ground beef and frozen ground beef, due to the  </w:t>
        <w:br/>
        <w:t xml:space="preserve">existence of differences in price, sanitary production constraints, and preservation methods between these  </w:t>
        <w:br/>
        <w:t>two types of products.</w:t>
      </w:r>
    </w:p>
    <w:p>
      <w:r>
        <w:rPr>
          <w:b/>
        </w:rPr>
        <w:t>[Pages 4–6]</w:t>
      </w:r>
    </w:p>
    <w:p>
      <w:r>
        <w:t>et boudins » vendue à la coupe), les parts de marché de Brient demeurent inférieures à celles de ses concurrents. En effet, les parts de marché de Brient sur ces segments sont inférieures à [20] %.</w:t>
      </w:r>
    </w:p>
    <w:p>
      <w:r>
        <w:t>29. En ce qui concerne les produits de charcuterie vendus sous MDD, la pratique décisionnelle a également noté que la concurrence est particulièrement forte, ce qui limite la capacité de Brient à augmenter ses prix ou à réduire la qualité de ses produits.</w:t>
      </w:r>
    </w:p>
    <w:p>
      <w:r>
        <w:t>30. En ce qui concerne les effets verticaux, l’acquéreur et la cible sont présents à différents niveaux de la chaîne de valeur, ce qui pourrait engendrer des effets d’intégration verticale. Toutefois, ces effets ne sont pas susceptibles de nuire à la concurrence sur les marchés concernés, étant donné la structure concurrentielle existante.</w:t>
      </w:r>
    </w:p>
    <w:p>
      <w:r>
        <w:t>31. En ce qui concerne les effets congloméraux, l’opération pourrait permettre à l’acquéreur de diversifier son offre de produits. Cependant, cette diversification ne devrait pas avoir d’impact significatif sur la concurrence sur les marchés concernés, car les produits concernés sont déjà largement disponibles sur le marché.</w:t>
      </w:r>
    </w:p>
    <w:p>
      <w:r>
        <w:t>32. En conclusion, l’analyse des effets horizontaux, verticaux et congloméraux de l’opération indique qu’elle ne devrait pas nuire à la concurrence sur les marchés concernés.</w:t>
      </w:r>
    </w:p>
    <w:p>
      <w:r>
        <w:rPr>
          <w:b/>
        </w:rPr>
        <w:t>[Pages 7–9]</w:t>
      </w:r>
    </w:p>
    <w:p>
      <w:r>
        <w:t>28. According to this segmentation, it appears that, even in the segments where Brient holds the largest market shares ([5-10]% in the MDD segment of the "other cooked pieces" family sold in self-service, or [5-10]% in the "andouilles, andouillettes and boudins" family marketed by the cut), the position of the new entity will remain below [10-20]% with an increment still below [0-5]%.</w:t>
      </w:r>
    </w:p>
    <w:p>
      <w:r>
        <w:t>29. Regarding the distribution channel of the RHF and wholesalers, Brient's market shares are more significant and can range between [20-30]% and [20-30]% in certain product families, as shown in the following table.</w:t>
      </w:r>
    </w:p>
    <w:p>
      <w:r>
        <w:t xml:space="preserve">RHF / Wholesalers  </w:t>
        <w:br/>
        <w:t xml:space="preserve">In volume - 2015  </w:t>
        <w:br/>
        <w:t xml:space="preserve">Agrial Brient Total  </w:t>
        <w:br/>
        <w:t xml:space="preserve">Cooked hams [0-5]% [5-10]% [5-10]%  </w:t>
        <w:br/>
        <w:t xml:space="preserve">Other cooked pieces [0-5]% [10-20]% [10-20]%  </w:t>
        <w:br/>
        <w:t xml:space="preserve">Cooked or cooking sausages [0-5]% [20-30]% [20-30]%  </w:t>
        <w:br/>
        <w:t xml:space="preserve">Andouilles, andouillettes, boudins [0-5]% [10-20]% [10-20]%  </w:t>
        <w:br/>
        <w:t xml:space="preserve">Pâtés and various preparations based on liver [0-5]% [20-30]% [20-30]%  </w:t>
        <w:br/>
        <w:t xml:space="preserve">Other preparations and preserves based on pork, including mixtures [0-5]% [20-30]% [20-30]%  </w:t>
        <w:br/>
        <w:t xml:space="preserve">Pâtés and various preparations based on poultry or game [0-5]% [10-20]% [10-20]%  </w:t>
        <w:br/>
        <w:t>Preparations and preserves based on beef, beef and mixtures [0-5]% [0-5]% [0-5]%</w:t>
      </w:r>
    </w:p>
    <w:p>
      <w:r>
        <w:t>30. In these segments, however, the purchaser's activity is extremely marginal, so the increment of activity brought by the operation will remain below [0-5]% in this distribution channel.</w:t>
      </w:r>
    </w:p>
    <w:p>
      <w:r>
        <w:t>31. Furthermore, across all distribution channels, the new entity will face competition from powerful groups, some of which have a strong brand image, high market shares, and extensive product portfolios. Thus, in the GMS segments, the parties estimate that the Nestlé/Herta and Fleury Michon groups each hold market shares between 10% and 20%. Regarding the RHF segment, the parties estimate that Cooperl/Broceliande holds a market share between 5% and 10%, and note that the largest groups in the sector are also active in this distribution channel (Nestlé/Herta, Fleury Michon, Turenne Lafayette, and Euralis/Jean Stalaven), as well as in the IAA.</w:t>
      </w:r>
    </w:p>
    <w:p>
      <w:r>
        <w:t>32. Given these elements, the operation is not likely to harm competition through horizontal effects in the markets for charcuterie salting, the market for the fourth processing of pork meat.</w:t>
      </w:r>
    </w:p>
    <w:p>
      <w:r>
        <w:t>B. ANALYSIS OF VERTICAL EFFECTS</w:t>
      </w:r>
    </w:p>
    <w:p>
      <w:r>
        <w:t>33. A vertical concentration can restrict competition by making access to the markets where the new entity will be active more difficult, or even by excluding competitors or penalizing them through increased costs. This lock-in can target downstream markets when the integrated company refuses to sell an input to its downstream competitors. The lock-in strategy can also concern the products of manufacturers active upstream, thus reducing their commercial outlets. However, the Authority considers that it is unlikely that a company with a market share below 30% in a given market can lock a downstream or upstream market.</w:t>
      </w:r>
    </w:p>
    <w:p>
      <w:r>
        <w:t>34. Unlike the purchaser, the target is not present upstream, in the secondary and tertiary processing markets for pork. For its charcuterie production, Brient sources from third-party suppliers. Brient's membership in a vertically integrated group is therefore likely to change its sourcing conditions and potentially restrict the outlets for its suppliers.</w:t>
      </w:r>
    </w:p>
    <w:p>
      <w:r>
        <w:t>35. However, it appears that Brient's purchases of pigs are spread among several suppliers, each representing only a relatively small share of the company's needs. On the other hand, Brient's weight in the national market for pork purchases remains extremely low. The parties estimate that Brient represents less than [0-5]% of purchases in the secondary processing markets for pork, the only market where Brient sources.</w:t>
      </w:r>
    </w:p>
    <w:p>
      <w:r>
        <w:t>36. Finally, this vertical integration could potentially harm Brient's competitors in the markets for charcuterie salting, in the event that the purchaser decides to reduce or even suspend its sales of products from the secondary and tertiary processing of pork to Brient's downstream competitors. In these secondary and tertiary processing markets, however, Agrial estimates that its market shares remain below [0-5]%, regardless of the segment considered. Such a shift in Agrial's commercial policy in favor of Brient would therefore not be likely to restrict its competitors' sourcing capacity.</w:t>
      </w:r>
    </w:p>
    <w:p>
      <w:r>
        <w:t>37. Under these conditions, the operation is not likely to harm competition in the charcuterie salting sector through vertical effects.</w:t>
      </w:r>
    </w:p>
    <w:p>
      <w:r>
        <w:t>C. ANALYSIS OF CONGLOMERATE EFFECTS</w:t>
      </w:r>
    </w:p>
    <w:p>
      <w:r>
        <w:t>38. A concentration may also lead to conglomerate effects when the new entity extends or strengthens its presence in markets that are connected to other markets where it holds market power. Some conglomerate concentrations can indeed produce restrictive competition effects when they allow for the technical or commercial tying of the sales of the new entity's products in such a way as to lock the market and exclude competitors.</w:t>
      </w:r>
    </w:p>
    <w:p>
      <w:r>
        <w:t>39. However, the guidelines of the Competition Authority indicate that it is unlikely that a concentration will pose a risk of conglomerate effect if the new entity does not benefit from a strong position in a market from which it can leverage an effect. The guidelines refer, in this regard, to a threshold of 30% market share for assessing this market position.</w:t>
      </w:r>
    </w:p>
    <w:p>
      <w:r>
        <w:t>40. In this case, the parties estimate that across all segments of the secondary and tertiary processing markets, for products other than those derived from pork, their market shares remain below [0-5]%. The parties finally indicate that across the various segments of the fourth processing market, for pork-based products that do not belong to the FICT families, their market shares are also below [0-5]%.</w:t>
      </w:r>
    </w:p>
    <w:p>
      <w:r>
        <w:t>41. Under these circumstances, the operation is not likely to harm competition in the charcuterie salting market through conglomerate effects.</w:t>
      </w:r>
    </w:p>
    <w:p>
      <w:r>
        <w:t>DECIDES</w:t>
      </w:r>
    </w:p>
    <w:p>
      <w:r>
        <w:t xml:space="preserve">Sole Article: The operation notified under number 17-005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