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https://www.autoritedelaconcurrence.fr/fr/decision-de-controle-des-concentrations/relative-la-prise-de-controle-exclusif-de-la-societe-brinks</w:t>
      </w:r>
    </w:p>
    <w:p>
      <w:r>
        <w:t>Pages translated : 2</w:t>
      </w:r>
    </w:p>
    <w:p/>
    <w:p>
      <w:r>
        <w:rPr>
          <w:b/>
        </w:rPr>
        <w:t>[Pages 1–2]</w:t>
      </w:r>
    </w:p>
    <w:p>
      <w:r>
        <w:t xml:space="preserve">FRENCH REPUBLIC  </w:t>
        <w:br/>
        <w:t xml:space="preserve">Decision No. 18-DCC-81 of May 25, 2018  </w:t>
        <w:br/>
        <w:t xml:space="preserve">regarding the exclusive control acquisition of the company Brink’s Security Services SAS by the company Separgefi SAS  </w:t>
        <w:br/>
        <w:t xml:space="preserve">The Competition Authority,  </w:t>
        <w:br/>
        <w:t xml:space="preserve">Having regard to the complete notification file submitted to the mergers department on April 20, 2018, concerning the exclusive control acquisition of the company Brink’s Security Services SAS by the company Separgefi SAS;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the company Brink’s Security Services SAS, held by the company Brink’s France SAS, which is ultimately controlled by the company The Brink’s Company, by the company Separgefi SAS, the parent company of the Seris group. It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private security and fire safety sectors. These markets are consistently defined by the decision-making practice of the Competition Authority.  </w:t>
        <w:br/>
        <w:t xml:space="preserve">3. Regardless of the segmentations retained, the market share of the new entity is less than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18-062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