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https://www.autoritedelaconcurrence.fr/fr/decision-de-controle-des-concentrations/relative-la-prise-de-controle-exclusif-de-la-societe-bs</w:t>
      </w:r>
    </w:p>
    <w:p>
      <w:r>
        <w:t>Pages translated : 2</w:t>
      </w:r>
    </w:p>
    <w:p/>
    <w:p>
      <w:r>
        <w:rPr>
          <w:b/>
        </w:rPr>
        <w:t>[Pages 1–2]</w:t>
      </w:r>
    </w:p>
    <w:p>
      <w:r>
        <w:t xml:space="preserve">FRENCH REPUBLIC  </w:t>
        <w:br/>
        <w:t xml:space="preserve">Decision No. 23-DCC-143 of July 18, 2023  </w:t>
        <w:br/>
        <w:t xml:space="preserve">regarding the exclusive control acquisition of BS Groupe by  </w:t>
        <w:br/>
        <w:t xml:space="preserve">Blackstone  </w:t>
        <w:br/>
        <w:t xml:space="preserve">The Competition Authority,  </w:t>
        <w:br/>
        <w:t xml:space="preserve">Having regard to the complete notification file submitted to the mergers department on June 29, 2023,  </w:t>
        <w:br/>
        <w:t xml:space="preserve">concerning the exclusive control acquisition by Blackstone of BS Groupe, formalized by an option contract and an investment commitment dated June 26, 2023;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BS Groupe, active in the sector of aesthetic care and aesthetic medicine, by Blackstone. It constitutes a concentration operation within the meaning of Article L. 430-1 of the Commercial Code. Given the turnover achieved by the concerned companies,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23-157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