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https://www.autoritedelaconcurrence.fr/fr/decision-de-controle-des-concentrations/relative-la-prise-de-controle-exclusif-de-la-societe-bsm</w:t>
      </w:r>
    </w:p>
    <w:p>
      <w:r>
        <w:t>Pages translated : 2</w:t>
      </w:r>
    </w:p>
    <w:p/>
    <w:p>
      <w:r>
        <w:rPr>
          <w:b/>
        </w:rPr>
        <w:t>[Pages 1–2]</w:t>
      </w:r>
    </w:p>
    <w:p>
      <w:r>
        <w:t xml:space="preserve">French Republic  </w:t>
        <w:br/>
        <w:t xml:space="preserve">Decision No. 25-DCC-40 of February 21, 2025  </w:t>
        <w:br/>
        <w:t>regarding the exclusive control acquisition of the company BSM Développement by the company Basaltes</w:t>
      </w:r>
    </w:p>
    <w:p>
      <w:r>
        <w:t>The Competition Authority,</w:t>
      </w:r>
    </w:p>
    <w:p>
      <w:r>
        <w:t>Having regard to the complete notification file submitted to the mergers department on February 6, 2025, concerning the exclusive control acquisition of the company BSM Développement by the company Basaltes formalized by a share transfer agreement dated December 13, 2024;</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by the company Basaltes, via its subsidiary Financière B, of the company BSM Développement and all of its subsidiaries, which are active in the markets of production and sale of ready-mixed concrete. Following the operation, Basaltes will indirectly hold 100% of the share capital of the company BSM Développement.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25-023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