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https://www.autoritedelaconcurrence.fr/fr/decision-de-controle-des-concentrations/relative-la-prise-de-controle-exclusif-de-la-societe-btmf</w:t>
      </w:r>
    </w:p>
    <w:p>
      <w:r>
        <w:t>Pages translated : 8</w:t>
      </w:r>
    </w:p>
    <w:p/>
    <w:p>
      <w:r>
        <w:rPr>
          <w:b/>
        </w:rPr>
        <w:t>[Pages 1–3]</w:t>
      </w:r>
    </w:p>
    <w:p>
      <w:r>
        <w:t xml:space="preserve">FRENCH REPUBLIC  </w:t>
        <w:br/>
        <w:t xml:space="preserve">Decision No. 17-DCC-114 of July 18, 2017  </w:t>
        <w:br/>
        <w:t xml:space="preserve">regarding the exclusive control of the company BTMF by the  </w:t>
        <w:br/>
        <w:t>Mutuelle Nationale des Hospitaliers group</w:t>
      </w:r>
    </w:p>
    <w:p>
      <w:r>
        <w:t xml:space="preserve">The Competition Authority,  </w:t>
        <w:br/>
        <w:t xml:space="preserve">Having regard to the notification file submitted in full to the concentrations service on June 20, 2017,  </w:t>
        <w:br/>
        <w:t xml:space="preserve">regarding the exclusive control of the company BTMF by the Mutuelle Nationale des Hospitaliers group, formalized by a firm and irrevocable offer letter dated May 12, 2017, and a draft share transfer agreement;  </w:t>
        <w:br/>
        <w:t xml:space="preserve">Having regard to Book IV of the Commercial Code relating to price freedom and competition, and in particular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The Mutuelle Nationale des Hospitaliers group (hereinafter "GMNH") is a union of mutuals consisting of two mutuals (MNH and MNH Prévoyance) governed by the provisions of Book II of the Mutuality Code, with MNH being the founding mutual at the head of the group. GMNH primarily serves health and social professionals in the insurance sector, particularly in complementary health insurance and provident insurance. It is also active in the banking sector, following the acquisition of the majority of the capital of Banque Française Mutualiste. Furthermore, GMNH is active in the services sector for professionals, notably through the company Régie Linge Holding (hereinafter "RLH"), whose main activity is the rental and maintenance of textiles for professionals, and through the company Exeol, which manufactures and markets hygiene and maintenance products and materials intended for professionals.  </w:t>
        <w:br/>
        <w:t xml:space="preserve">2. The company BTMF is a simplified joint-stock company controlled by the Rentokil Initial group. Following the transfer by Initial to BTMF of […] operating sites, the latter will operate […] specialized sites primarily in the rental and maintenance of textiles for professionals and, incidentally, in the distribution of hygiene and maintenance products intended for professionals.  </w:t>
        <w:br/>
        <w:t xml:space="preserve">3. The proposed transaction consists of the acquisition of the entire capital and voting rights of BTMF by the company RLH or, if applicable, by any other company also owned and exclusively controlled by the GMNH group.  </w:t>
        <w:br/>
        <w:t xml:space="preserve">4. As it results in the exclusive control of BTMF by the GMNH group, the notified transaction constitutes a concentration operation within the meaning of Article L. 430-1 of the Commercial Code.  </w:t>
        <w:br/>
        <w:t>5. The companies concerned together achieve a total worldwide turnover excluding taxes of more than 150 million euros (GMNH group: […] euros for the fiscal year ending December 31, 2016; BTMF: […] euros for the same fiscal year). Each of these companies has achieved, in France, a turnover exceeding 50 million euros (GMNH group: […] euros for the fiscal year ending December 31, 2016; BTMF: […]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6. The parties are simultaneously present in the markets for the rental and maintenance of textiles for professionals (A) and for the distribution of hygiene and maintenance products and materials for professionals (C). Furthermore, GMNH, through its subsidiary Exeol, is also active in the upstream market for the manufacture of hygiene and maintenance products for professional use (B).</w:t>
      </w:r>
    </w:p>
    <w:p>
      <w:r>
        <w:t xml:space="preserve">A. THE MARKET FOR THE RENTAL AND MAINTENANCE OF TEXTILES FOR PROFESSIONALS  </w:t>
        <w:br/>
        <w:t xml:space="preserve">1. SERVICE MARKETS  </w:t>
        <w:br/>
        <w:t xml:space="preserve">7. The market for the rental and maintenance of textiles for professionals has been distinguished from the market for the rental and maintenance of textiles for individuals.  </w:t>
        <w:br/>
        <w:t xml:space="preserve">8. National competition authorities have indicated that companies active in the market for the rental and maintenance of textiles for professionals are distinguished from traditional wholesale laundries by the fact that they own the work linen and regularly provide the client with cleaned linen and work clothing, generally once or twice a week. The market for the rental and maintenance of textiles for professionals includes the provision of rental services to companies for their professional linen, primarily flat linen (sheets, towels, tablecloths) and their professional clothing, such as clothing standards intended for the protection of the employee's clothing (apron or coat), specialized protective clothing (personal protective equipment), or image clothing (uniforms).  </w:t>
        <w:br/>
        <w:t xml:space="preserve">9. In the aforementioned decision No. 07-D-21, the Competition Council considered distinguishing "a segment of 'major accounts' which corresponds to a specific demand: that of companies with significant turnover ([…] the threshold is €60 million), a large number of potential users (at least 300 people […]) and a presence in at least two regions requiring centralized negotiation." However, the notifying party believes that such a delineation corresponds more to a type of commercial organization implemented by certain companies than to the economic reality of the market.  </w:t>
        <w:br/>
        <w:t xml:space="preserve">10. Furthermore, in the aforementioned letter from the minister C2007-126, the competitive analysis was conducted on the overall market for the rental and maintenance of textiles for professionals, as well as on the segments of linen and clothing, on the one hand, and on the segment of services offered to the hospitality sector, on the other hand.  </w:t>
        <w:br/>
        <w:t>11. The question of the exact delimitation of the market for the rental and maintenance of textiles for professionals can, however, be left open, insofar as the conclusions of the competitive analysis remain unchanged regardless of the segmentation chosen.</w:t>
      </w:r>
    </w:p>
    <w:p>
      <w:r>
        <w:t xml:space="preserve">2. GEOGRAPHIC MARKETS  </w:t>
        <w:br/>
        <w:t xml:space="preserve">12. National decision-making practice considers that the market for the rental and maintenance of textiles for professionals is of national dimension.  </w:t>
        <w:br/>
        <w:t>13. There is no need to challenge this definition for the purposes of the present transaction.</w:t>
      </w:r>
    </w:p>
    <w:p>
      <w:r>
        <w:t xml:space="preserve">B. THE MARKETS FOR THE MANUFACTURE OF HYGIENE AND MAINTENANCE PRODUCTS FOR PROFESSIONAL USE  </w:t>
        <w:br/>
        <w:t xml:space="preserve">1. PRODUCT MARKETS  </w:t>
        <w:br/>
        <w:t xml:space="preserve">14. The upstream markets for the manufacture of hygiene and maintenance products for professional use have been segmented according to the main use of the products, as producers who manufacture certain hygiene and maintenance products are not able to easily convert to the manufacture of other products.  </w:t>
        <w:br/>
        <w:t xml:space="preserve">15. Thus, the decision-making practice of the Authority identifies as many markets as there are families of products.  </w:t>
        <w:br/>
        <w:t>16. The major families of products distributed are products intended for wiping (industrial wiping, hand towels, towels, tissues, etc.), cleaning products (maintenance products, soap, disinfectants, etc.), protective products (gloves, coats, clothing protections, examination sheets), or waste collection (plastic or paper bags, bins, etc.).</w:t>
      </w:r>
    </w:p>
    <w:p>
      <w:r>
        <w:rPr>
          <w:b/>
        </w:rPr>
        <w:t>[Pages 4–6]</w:t>
      </w:r>
    </w:p>
    <w:p>
      <w:r>
        <w:t>17. In this case, the overlap in the parties' activities concerns only the manufacture of cleaning products.</w:t>
      </w:r>
    </w:p>
    <w:p>
      <w:r>
        <w:t>18. The question of the exact material delimitation of the markets for the manufacture of hygiene and maintenance products for professional use can, however, be left open, insofar as the conclusions of the competitive analysis remain unchanged regardless of the segmentation chosen.</w:t>
      </w:r>
    </w:p>
    <w:p>
      <w:r>
        <w:t>2. GEOGRAPHIC MARKETS</w:t>
      </w:r>
    </w:p>
    <w:p>
      <w:r>
        <w:t>19. National decision-making practice considers that the markets for the manufacture of hygiene and maintenance products for professional use are at least of national dimension, or even of European dimension.</w:t>
      </w:r>
    </w:p>
    <w:p>
      <w:r>
        <w:t>20. The question of the exact geographic delimitation of the markets for the manufacture of hygiene and maintenance products for professional use can, however, be left open, insofar as the conclusions of the competitive analysis remain unchanged regardless of the segmentation chosen.</w:t>
      </w:r>
    </w:p>
    <w:p>
      <w:r>
        <w:t>C. MARKETS FOR THE DISTRIBUTION OF HYGIENE AND MAINTENANCE PRODUCTS FOR PROFESSIONAL USE</w:t>
      </w:r>
    </w:p>
    <w:p>
      <w:r>
        <w:t>1. PRODUCT MARKET</w:t>
      </w:r>
    </w:p>
    <w:p>
      <w:r>
        <w:t>21. The downstream markets for the distribution of hygiene and maintenance products have been segmented according to the type of clientele purchasing them, with the markets for professional clients being further sub-segmented according to their sector of activity.</w:t>
      </w:r>
    </w:p>
    <w:p>
      <w:r>
        <w:t>22. National decision-making practice has thus identified a market for the distribution of hygiene and maintenance products intended for professionals, insofar as the needs of this type of clientele (hospitals, clinics, hotels and restaurants, businesses, schools, administrations, etc.) differ from the demand of individuals, both in terms of the quantity of products purchased and in terms of quality.</w:t>
      </w:r>
    </w:p>
    <w:p>
      <w:r>
        <w:t>23. Hygiene and maintenance products for professional use are offered by producers, either through direct sales or through their own distribution networks, and by independent distributors.</w:t>
      </w:r>
    </w:p>
    <w:p>
      <w:r>
        <w:t>24. Within this market, European decision-making practice has distinguished the market for the distribution of hygiene and maintenance products intended for institutional professionals (hospitality, catering, hospitals and clinics, and educational institutions) from that of industrial professionals (mainly, the agri-food industry and industrial laundries).</w:t>
      </w:r>
    </w:p>
    <w:p>
      <w:r>
        <w:t>a) The market for the distribution of hygiene and maintenance products intended for institutional professionals</w:t>
      </w:r>
    </w:p>
    <w:p>
      <w:r>
        <w:t>25. Within the market for the distribution of hygiene and maintenance products intended for institutional professionals, the European Commission has considered the following three segments:</w:t>
      </w:r>
    </w:p>
    <w:p>
      <w:r>
        <w:t>i) kitchen hygiene;</w:t>
      </w:r>
    </w:p>
    <w:p>
      <w:r>
        <w:t>ii) establishment laundries;</w:t>
      </w:r>
    </w:p>
    <w:p>
      <w:r>
        <w:t>iii) housekeeping.</w:t>
      </w:r>
    </w:p>
    <w:p>
      <w:r>
        <w:t>26. Competition authorities have also considered the existence of a distinct segment related to health hygiene.</w:t>
      </w:r>
    </w:p>
    <w:p>
      <w:r>
        <w:t>27. However, the question of whether health hygiene constitutes a distinct market or a segment of the market for the distribution of hygiene and maintenance products intended for institutional professionals has been left open, with the conclusions of the competitive analysis remaining unchanged regardless of the assumption made.</w:t>
      </w:r>
    </w:p>
    <w:p>
      <w:r>
        <w:t>b) The market for the distribution of hygiene and maintenance products intended for industrial professionals</w:t>
      </w:r>
    </w:p>
    <w:p>
      <w:r>
        <w:t>28. The European Commission has segmented the market for the distribution of hygiene and maintenance products intended for industrial professionals by distinguishing the agri-food industry and industrial laundries. The Authority has also more recently considered the existence of two additional segments: the cosmetic and pharmaceutical industries and the agricultural industry.</w:t>
      </w:r>
    </w:p>
    <w:p>
      <w:r>
        <w:t>29. Furthermore, the question of the existence of a distinct market for textile hygiene that would include establishment laundries and industrial laundries has been raised by competition authorities.</w:t>
      </w:r>
    </w:p>
    <w:p>
      <w:r>
        <w:t>30. Finally, the Competition Council has had the opportunity to define a market for industrial laundry services intended for high-capacity facilities that would include only hospitals. The Council thus excluded the hotel-restaurant sector on the grounds that "the purpose of industrial laundry in hospitals is different from that of hotels-restaurants, both in terms of the type of linen to be cleaned (flat linen, the gowns and tunics of caregivers) and the types of stains to be removed (blood). The technical cleaning solutions are not the same in healthcare establishments and in hotels-restaurants." The Council also excluded the sector of nursing homes and hospices, notably because "the laundry cleaning needs in these establishments are comparable to those of hotels-restaurants, primarily aimed at ensuring the maintenance of linen, whereas hygiene is the main objective of hospitals."</w:t>
      </w:r>
    </w:p>
    <w:p>
      <w:r>
        <w:t>31. The question of the exact delimitation of these markets can, however, be left open, insofar as the conclusions of the competitive analysis remain unchanged regardless of the segmentation chosen.</w:t>
      </w:r>
    </w:p>
    <w:p>
      <w:r>
        <w:t>2. GEOGRAPHIC MARKETS</w:t>
      </w:r>
    </w:p>
    <w:p>
      <w:r>
        <w:t>32. The Authority has not resolved the question of the exact delimitation of the markets for the distribution of hygiene and maintenance products to professionals by retaining a national level and a local level. It has indeed isolated the Île-de-France region, notably due to the particularly significant concentration of demanders (offices, hospitality and catering businesses, co-ownerships, etc.) and suppliers in this region.</w:t>
      </w:r>
    </w:p>
    <w:p>
      <w:r>
        <w:t>33. The European Commission, for its part, has retained a national dimension for the markets for the distribution of hygiene and maintenance products to professionals, both institutional and industrial. However, it has noted a trend towards Europeanization, even globalization of these markets.</w:t>
      </w:r>
    </w:p>
    <w:p>
      <w:r>
        <w:t>34. The notifying party believes that a national delimitation of the markets for the distribution of hygiene and maintenance products to professionals should be retained.</w:t>
      </w:r>
    </w:p>
    <w:p>
      <w:r>
        <w:t>35. The question of the exact geographic delimitation of the markets for the distribution of hygiene and maintenance products to professionals can, however, be left open, insofar as the conclusions of the competitive analysis remain unchanged regardless of the segmentation chosen.</w:t>
      </w:r>
    </w:p>
    <w:p>
      <w:r>
        <w:t>III. Competitive Analysis</w:t>
      </w:r>
    </w:p>
    <w:p>
      <w:r>
        <w:t>A. ANALYSIS OF HORIZONTAL EFFECTS</w:t>
      </w:r>
    </w:p>
    <w:p>
      <w:r>
        <w:t>1. ON THE MARKET FOR THE RENTAL AND MAINTENANCE OF TEXTILES FOR PROFESSIONALS</w:t>
      </w:r>
    </w:p>
    <w:p>
      <w:r>
        <w:t>36. At the national level, the combined market share of the parties has been estimated at [10-20]% (GMNH group: [5-10]% and BTMF: [0-5]%). The new entity will face numerous competitors, such as Elis ([50-60]%), Initial ([10-20]%), or Anett ([5-10]%).</w:t>
      </w:r>
    </w:p>
    <w:p>
      <w:r>
        <w:t>37. In the segment of the rental and maintenance of flat linen for professionals, the combined market share of the parties has been estimated at [10-20]%. In the segment of the rental and maintenance of clothing for professionals, the combined market share of the parties has been estimated at [10-20]%.</w:t>
      </w:r>
    </w:p>
    <w:p>
      <w:r>
        <w:t>38. The parties have not been able to estimate their market shares, nor those of their competitors in the segment of major accounts. However, BTMF is not a significant player in this segment, its largest major account client being [confidential] which represented a turnover of […] euros in 2016. Furthermore, there are other players who are able to offer their services to major accounts and who will exert competitive pressure on the new entity, such as the groups Elis or Initial.</w:t>
      </w:r>
    </w:p>
    <w:p>
      <w:r>
        <w:rPr>
          <w:b/>
        </w:rPr>
        <w:t>[Pages 7–8]</w:t>
      </w:r>
    </w:p>
    <w:p>
      <w:r>
        <w:t>39. Finally, the parties estimated that their combined market share does not exceed 25% in the segments of services offered to the hospitality sector, healthcare establishments, industry, and companies engaged in activities other than those mentioned above.</w:t>
      </w:r>
    </w:p>
    <w:p>
      <w:r>
        <w:t>40. Consequently, the transaction is not likely to harm competition in these markets through horizontal effects.</w:t>
      </w:r>
    </w:p>
    <w:p>
      <w:r>
        <w:t>2. ON THE MARKET FOR THE DISTRIBUTION OF HYGIENE AND MAINTENANCE PRODUCTS FOR PROFESSIONAL USE</w:t>
      </w:r>
    </w:p>
    <w:p>
      <w:r>
        <w:t>41. At the national level, the combined market share of the parties is estimated at [0-5]% in the market for the distribution of hygiene and maintenance products for professional use. In any case, it will not exceed 5% regardless of the segmentation considered. Furthermore, the new entity will face numerous competitors, such as the Ecolab, Pierre Le Goff, or Paredes groups.</w:t>
      </w:r>
    </w:p>
    <w:p>
      <w:r>
        <w:t>42. At the local level, the combined market share of the parties does not exceed 5%.</w:t>
      </w:r>
    </w:p>
    <w:p>
      <w:r>
        <w:t>43. Consequently, the transaction is not likely to harm competition in these markets through horizontal effects.</w:t>
      </w:r>
    </w:p>
    <w:p>
      <w:r>
        <w:t>B. ANALYSIS OF VERTICAL EFFECTS</w:t>
      </w:r>
    </w:p>
    <w:p>
      <w:r>
        <w:t>44. A concentration is likely to lead to conglomerate effects when the new entity extends or strengthens its presence in markets that are connected to other markets where it holds market power. However, decision-making practice generally considers that a risk of vertical or conglomerate effect can be ruled out as long as the market share of the company resulting from the transaction in the relevant markets does not exceed 30%.</w:t>
      </w:r>
    </w:p>
    <w:p>
      <w:r>
        <w:t>45. According to the notifying party's estimates, Exeol, active only in the market for the manufacture of cleaning products for professional use, holds a market share of less than [0-5]% at the national level. Furthermore, the share of purchases made by RLH and BTMF in this same market is less than [0-5]%.</w:t>
      </w:r>
    </w:p>
    <w:p>
      <w:r>
        <w:t>46. Consequently, the transaction is not likely to harm competition in these markets through vertical effects.</w:t>
      </w:r>
    </w:p>
    <w:p>
      <w:r>
        <w:t>DECIDES</w:t>
      </w:r>
    </w:p>
    <w:p>
      <w:r>
        <w:t>Sole Article: The transaction notified under number 17-109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