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https://www.autoritedelaconcurrence.fr/fr/decision-de-controle-des-concentrations/relative-la-prise-de-controle-exclusif-de-la-societe-btp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21-DCC-33 of February 24, 2021  </w:t>
        <w:br/>
        <w:t xml:space="preserve">regarding the exclusive control acquisition of the company BTP Consultants  </w:t>
        <w:br/>
        <w:t xml:space="preserve">by the company Apax Partners  </w:t>
        <w:br/>
        <w:t xml:space="preserve">The Competition Authority,  </w:t>
        <w:br/>
        <w:t xml:space="preserve">Having regard to the complete notification file submitted to the mergers department on February 1, 2021,  </w:t>
        <w:br/>
        <w:t xml:space="preserve">concerning the exclusive control acquisition of the company BTP Consultants by the company Apax Partners,  </w:t>
        <w:br/>
        <w:t xml:space="preserve">formalized by a share transfer and asset and liability guarantee agreement dated  </w:t>
        <w:br/>
        <w:t xml:space="preserve">January 28, 2021;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transaction consists of the exclusive control acquisition by the investment fund Apax  </w:t>
        <w:br/>
        <w:t xml:space="preserve">Partners of the company BTP Consultants, active in the engineering and technical services sector and in the inspection, control, and certification services sector. It constitutes a concentration operation within the meaning of Article L. 430-1 of the Commercial Code.  </w:t>
        <w:br/>
        <w:t xml:space="preserve">Given the turnover achieved by the concerned companies, the transaction does not fall under the jurisdiction of the European Union. On the other hand, the control thresholds mentioned in point I of Article L. 430-2 of the Commercial Code are exceeded. This transaction is therefore subject to the provisions of Articles L. 430-3 and following of the Commercial Code relating to economic concentration.  </w:t>
        <w:br/>
        <w:t>2. In view of the elements of the file, the transaction is not likely to harm competition in the relevant markets.</w:t>
      </w:r>
    </w:p>
    <w:p>
      <w:r>
        <w:t xml:space="preserve">DECIDES  </w:t>
        <w:br/>
        <w:t xml:space="preserve">Sole Article: The transaction notified under number 21-022 is authorized.  </w:t>
        <w:br/>
        <w:t xml:space="preserve">The Vice-President,  </w:t>
        <w:br/>
        <w:t xml:space="preserve">Fabienne Siredey-Garnier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