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https://www.autoritedelaconcurrence.fr/fr/decision-de-controle-des-concentrations/relative-la-prise-de-controle-exclusif-de-la-societe-burton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20-DCC-158 of November 17, 2020  </w:t>
        <w:br/>
        <w:t xml:space="preserve">regarding the exclusive control acquisition of the company Burton by  </w:t>
        <w:br/>
        <w:t xml:space="preserve">Mr. Thierry Le Guenic  </w:t>
        <w:br/>
        <w:t xml:space="preserve">The Competition Authority,  </w:t>
        <w:br/>
        <w:t xml:space="preserve">Having regard to the complete notification file sent to the mergers department on October 22, 2020,  </w:t>
        <w:br/>
        <w:t xml:space="preserve">concerning the exclusive control acquisition of the company Burton by Mr. Thierry Le Guenic,  </w:t>
        <w:br/>
        <w:t xml:space="preserve">formalized by a transfer protocol dated October 1, 2020;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elements provided by the notifying party during the investigation;  </w:t>
        <w:br/>
        <w:t xml:space="preserve">Adopts the following decision:  </w:t>
        <w:br/>
        <w:t xml:space="preserve">1. The notified operation consists of the exclusive control acquisition by Mr. Thierry Le Guenic  </w:t>
        <w:br/>
        <w:t xml:space="preserve">of the company Burton, active in the retail distribution sector of clothing and  </w:t>
        <w:br/>
        <w:t xml:space="preserve">footwear. It constitutes a concentration operation within the meaning of Article L. 430-1 of the Commercial Code. Given the turnover achieved by the concerned companies,  </w:t>
        <w:br/>
        <w:t xml:space="preserve">the operation does not fall under the jurisdiction of the European Union. On the other hand, the thresholds of  </w:t>
        <w:br/>
        <w:t xml:space="preserve">control related to retail trade mentioned in point II of Article L. 430-2 of the Commercial Code are exceeded. This operation is therefore subject to the provisions of Articles  </w:t>
        <w:br/>
        <w:t xml:space="preserve">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20-194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