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https://www.autoritedelaconcurrence.fr/fr/decision-de-controle-des-concentrations/relative-la-prise-de-controle-exclusif-de-la-societe-calfo</w:t>
      </w:r>
    </w:p>
    <w:p>
      <w:r>
        <w:t>Pages translated : 5</w:t>
      </w:r>
    </w:p>
    <w:p/>
    <w:p>
      <w:r>
        <w:rPr>
          <w:b/>
        </w:rPr>
        <w:t>[Pages 1–3]</w:t>
      </w:r>
    </w:p>
    <w:p>
      <w:r>
        <w:t xml:space="preserve">FRENCH REPUBLIC  </w:t>
        <w:br/>
        <w:t xml:space="preserve">Decision No. 09-DCC-76 of December 16, 2009  </w:t>
        <w:br/>
        <w:t xml:space="preserve">regarding the exclusive control of Calfo SAS by ITM Alimentaire Centre Ouest (ITM Entreprises group)  </w:t>
        <w:br/>
        <w:t xml:space="preserve">The Competition Authority,  </w:t>
        <w:br/>
        <w:t xml:space="preserve">Having regard to the notification file submitted in full to the concentrations service on November 10, 2009, concerning the acquisition of Calfo S.A.S. by ITM Alimentaire Centre Ouest, formalized by a transfer protocol signed on March 20, 2009;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A. THE CONCERNED COMPANIES  </w:t>
        <w:br/>
        <w:t>1. The company ITM Entreprises, 100% controlled by the Société civile des Mousquetaires, itself owned by 1,330 individuals known as "associated members," manages and animates the network of independent merchants known as the "Groupement des Mousquetaires." In its capacity as franchisor, ITM Entreprises' main activity is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r>
    </w:p>
    <w:p>
      <w:r>
        <w:t>The company ITM Alimentaire Centre Ouest is a French law company owned by more than 50% by ITM Alimentaire France and less than 50% by ITM Entreprises, with ITM Alimentaire France itself being owned by ITM Entreprises. ITM Entreprises has entrusted ITM Alimentaire Centre Ouest with the management and development of the franchise network operating stores under the Intermarché, Ecomarché, and Netto brands in the Centre-West region of France. The ITM Entreprises group achieved, during the fiscal year ending December 31, 2008, a total turnover excluding taxes of 20-30 billion euros, of which 15-25 billion was in France.</w:t>
      </w:r>
    </w:p>
    <w:p>
      <w:r>
        <w:t>2. The company Calfo S.A.S. (hereinafter "Calfo") is a French law company whose main purpose is the operation of a predominantly food store located in Saint-Marcel (36200) under the Intermarché brand. The shares of Calfo are predominantly owned in full ownership and minority owned by Mr. Gilles Calonne and members of his family. Mr. and Mrs. Calonne are signatories of the membership charter of the Groupement des Mousquetaires. The remaining capital of Calfo is held by ITM Entreprises at 5% in bare ownership and one preferred share held in full ownership. Furthermore, Calfo signed a brand contract on September 30, 2008, with ITM Entreprises, by which the use of the Intermarché brand is granted for the operation of its business. The total consolidated turnover excluding taxes achieved by Calfo in 2008, the last closed fiscal year, amounts to 17.9 million euros exclusively in France.</w:t>
      </w:r>
    </w:p>
    <w:p>
      <w:r>
        <w:t>3. ITM Alimentaire Centre Ouest committed, by a transfer protocol and net situation guarantee dated March 20, 2009, to acquire all the shares of Calfo.</w:t>
      </w:r>
    </w:p>
    <w:p>
      <w:r>
        <w:t>4. The articles of association of Calfo, adopted on September 30, 2008, grant ITM Entreprises, for a period of 25 years, the possibility to block any change of brand, to oppose any transfer of shares, and to compel the majority shareholders to sell the business as soon as they operate a similar business under a competing brand. Furthermore, the brand contract grants ITM Entreprises, also for a period of 25 years, a right of first refusal in the event of the sale of the business at a price calculated according to a predetermined formula. Finally, after 25 years, if ITM Entreprises no longer has the ability to block any change of brand or to oppose any transfer of shares, ITM Entreprises retains a right of first refusal on any sale of shares for an additional 5 years.</w:t>
      </w:r>
    </w:p>
    <w:p>
      <w:r>
        <w:t>5. It follows from the above that before the operation, contrary to what the notifying party claims, ITM Entreprises already jointly exercises control of Calfo with Mr. Calonne.</w:t>
      </w:r>
    </w:p>
    <w:p>
      <w:r>
        <w:t>6. Insofar as it results in the transition from joint control to exclusive control of Calfo by the ITM Entreprises group, the notified operation constitutes a concentration within the meaning of Article L. 430-1 of the Commercial Code.</w:t>
      </w:r>
    </w:p>
    <w:p>
      <w:r>
        <w:t>7. Given the turnover of the concerned companies,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8. According to the consistent practice of national and community competition authorities1, two categories of markets can be delineated2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MARKETS OF PREDOMINANTLY FOOD DISTRIBUTION  </w:t>
        <w:br/>
        <w:t xml:space="preserve">1. SERVICE MARKETS  </w:t>
        <w:br/>
        <w:t>9. Regarding the retail sale of everyday consumer goods, competition authorities, both community and national3, have distinguished six categories of commerce using several criteria, including store size, sales techniques, accessibility, the nature of the service provided, and the range of products offered: (i) hypermarkets, (ii) supermarkets, (iii) specialized commerce, (iv) small retail commerce, (v) maxi discounters, (vi) mail order sales.</w:t>
      </w:r>
    </w:p>
    <w:p>
      <w:r>
        <w:t>10. Supermarkets are usually defined as predominantly food stores with a sales area of less than 2,500 m2 and more than 400 m2. However, it should be noted that these thresholds must be used with caution and may be adapted to the specific case, as stores whose area is near a threshold, either below or above, may find themselves in direct competition in practice4.</w:t>
      </w:r>
    </w:p>
    <w:p>
      <w:r>
        <w:t xml:space="preserve">11. In this case, the acquired store currently occupies a sales area of 2,088 m2. This store therefore falls into the category of supermarkets.  </w:t>
        <w:br/>
        <w:t xml:space="preserve">2. GEOGRAPHICAL DELIMITATION  </w:t>
        <w:br/>
        <w:t xml:space="preserve">12. In its recent decisions5 concerning operations involving hypermarkets or supermarkets predominantly focused on food, the Competition Authority has recalled that depending on the size of the stores concerned, the conditions of competition should be assessed in two different areas: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 xml:space="preserve">2 Decisions of the Commission in the cases M.1221 Rewe/Meinl of February 3, 1999, M.1684 Carrefour/Promodès of January 25, 2000, and M.2115 Carrefour/GB of September 28, 2000. See also decision C.2005-98 Carrefour/Penny Market of November 10, 2005.  </w:t>
        <w:br/>
        <w:t xml:space="preserve">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 xml:space="preserve">4 See in particular opinion No. 00-A-06 of the Council of May 3, 2000, regarding the acquisition by Carrefour of Promodès.  </w:t>
        <w:br/>
        <w:t>5 Decisions 09-DCC-24 of July 23, 2009 Floritine/C.S.F; 09-DCC- of May 28, 2009 Frandis/Financière Perdis; 09-DCC-06 of May 20, 2009 Evolis/ITM; 09-DCC-04 of April 29, 2009 Carrefour/Noukat,</w:t>
      </w:r>
    </w:p>
    <w:p>
      <w:r>
        <w:rPr>
          <w:b/>
        </w:rPr>
        <w:t>[Pages 4–5]</w:t>
      </w:r>
    </w:p>
    <w:p>
      <w:r>
        <w:t>- a first area where consumer demand meets the supply of hypermarkets accessible to them within less than 30 minutes of travel by car and which are, from their perspective, substitutable with each other;</w:t>
        <w:br/>
        <w:t>- a second area where consumer demand meets the supply of supermarkets and other equivalent forms of commerce located within less than 15 minutes of travel time by car. These latter forms of commerce may include, in addition to supermarkets, hypermarkets and discount stores.</w:t>
      </w:r>
    </w:p>
    <w:p>
      <w:r>
        <w:t>13. Other criteria may nevertheless be taken into account to assess the impact of a concentration on the competitive situation in retail distribution markets, which may lead to refining, in the specific case, the usual delineations presented above.</w:t>
      </w:r>
    </w:p>
    <w:p>
      <w:r>
        <w:t>14. In the specific case, the store concerned by the operation occupying a sales area of less than 2,500 m² and falling into the category of supermarkets, the competitive analysis will only focus on the second market, namely the market including all hypermarkets, supermarkets, and maxi-discount stores located within a 15-minute catchment area around Saint-Marcel.</w:t>
      </w:r>
    </w:p>
    <w:p>
      <w:r>
        <w:t>B. UPSTREAM SUPPLY MARKETS</w:t>
      </w:r>
    </w:p>
    <w:p>
      <w:r>
        <w:t>15. Regarding the supply markets, the European Commission6 has recognized the existence of markets of national dimension by major product groups, a delineation followed by national authorities7.</w:t>
      </w:r>
    </w:p>
    <w:p>
      <w:r>
        <w:t>16. There is no reason to challenge this delineation in the context of the present operation.</w:t>
      </w:r>
    </w:p>
    <w:p>
      <w:r>
        <w:t>III. Competitive Analysis</w:t>
      </w:r>
    </w:p>
    <w:p>
      <w:r>
        <w:t>1. DOWNSTREAM MARKETS OF PREDOMINANTLY FOOD DISTRIBUTION</w:t>
      </w:r>
    </w:p>
    <w:p>
      <w:r>
        <w:t>17. Apart from the store concerned by the operation, no other hypermarket, supermarket, or maxi-discounter predominantly focused on food, operated under a brand belonging to the ITM Entreprises group, is present in a catchment area of 15 minutes around Saint-Marcel.</w:t>
      </w:r>
    </w:p>
    <w:p>
      <w:r>
        <w:t>18. Consequently, the operation is not likely to harm competition in the downstream market of predominantly food distribution.</w:t>
      </w:r>
    </w:p>
    <w:p>
      <w:r>
        <w:t>6 See the Commission decisions M. 1221 Rewe/Meinl of February 3, 1999, M.1684 Carrefour/Promodès of January 25, 2000, and M. 2115 Carrefour/GB of September 28, 2000.</w:t>
      </w:r>
    </w:p>
    <w:p>
      <w:r>
        <w:t>7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p>
      <w:r>
        <w:t>2. UPSTREAM SUPPLY MARKETS</w:t>
      </w:r>
    </w:p>
    <w:p>
      <w:r>
        <w:t>19. Regarding the upstream supply markets, the operation, limited to one store, is not likely to significantly strengthen the purchasing power of the ITM Entreprises group, across all products as well as by major product groups. The strengthening is all the more minor since, prior to the operation, the point of sale subject to the operation was already sourcing [mainly] through subsidiaries of ITM Entreprises.</w:t>
      </w:r>
    </w:p>
    <w:p>
      <w:r>
        <w:t>DECIDES</w:t>
      </w:r>
    </w:p>
    <w:p>
      <w:r>
        <w:t>Sole Article: the operation notified under number 09-0119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