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https://www.autoritedelaconcurrence.fr/fr/decision-de-controle-des-concentrations/relative-la-prise-de-controle-exclusif-de-la-societe-capexo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22-DCC-192 of October 18, 2022  </w:t>
        <w:br/>
        <w:t xml:space="preserve">regarding the exclusive control acquisition of the company Capexo by the  </w:t>
        <w:br/>
        <w:t>company Orsero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September 23, 2022, concerning the exclusive control acquisition of the company Capexo by the company  </w:t>
        <w:br/>
        <w:t xml:space="preserve">Orsero, formalized by a letter of intent signed on July 26, 2022, between the acquirer and the  </w:t>
        <w:br/>
        <w:t>target;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by the company Orsero of the company  </w:t>
        <w:br/>
        <w:t xml:space="preserve">Capexo. The target engages in wholesale purchasing and selling activities of exotic fruits and vegetables.  </w:t>
        <w:br/>
        <w:t xml:space="preserve">The operation constitutes a concentration operation within the meaning of Article L. 430-1 of the Commercial  </w:t>
        <w:br/>
        <w:t xml:space="preserve">Code. Given the turnover achieved by the concerned companies, the operation does not fall under the  </w:t>
        <w:br/>
        <w:t xml:space="preserve">jurisdiction of the European Union. On the other hand, the control thresholds mentioned in I of Article L.  </w:t>
        <w:br/>
        <w:t xml:space="preserve">430-2 of the Commercial Code are exceeded. This operation is therefore subject to the provisions of Articles  </w:t>
        <w:br/>
        <w:t>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22-227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