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https://www.autoritedelaconcurrence.fr/fr/decision-de-controle-des-concentrations/relative-la-prise-de-controle-exclusif-de-la-societe-care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18-DCC-71 of April 30, 2018  </w:t>
        <w:br/>
        <w:t xml:space="preserve">regarding the exclusive control acquisition of the company Care by the company  </w:t>
        <w:br/>
        <w:t xml:space="preserve">ITM Entreprises  </w:t>
        <w:br/>
        <w:t xml:space="preserve">The Competition Authority,  </w:t>
        <w:br/>
        <w:t xml:space="preserve">Having regard to the notification file sent to the mergers department on February 15, 2018, and declared  </w:t>
        <w:br/>
        <w:t xml:space="preserve">complete on April 18, 2018, concerning the exclusive control acquisition of the company Care by the company  </w:t>
        <w:br/>
        <w:t xml:space="preserve">ITM Entreprises and formalized by a share transfer agreement dated  </w:t>
        <w:br/>
        <w:t xml:space="preserve">April 5,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ITM Entreprises of  </w:t>
        <w:br/>
        <w:t xml:space="preserve">the company Care, which operates a food-dominant retail outlet of the hypermarket type, under the brand Intermarché, in the city of Bollène (84).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18-032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