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https://www.autoritedelaconcurrence.fr/fr/decision-de-controle-des-concentrations/relative-la-prise-de-controle-exclusif-de-la-societe-cari</w:t>
      </w:r>
    </w:p>
    <w:p>
      <w:r>
        <w:t>Pages translated : 7</w:t>
      </w:r>
    </w:p>
    <w:p/>
    <w:p>
      <w:r>
        <w:rPr>
          <w:b/>
        </w:rPr>
        <w:t>[Pages 1–3]</w:t>
      </w:r>
    </w:p>
    <w:p>
      <w:r>
        <w:t xml:space="preserve">FRENCH REPUBLIC  </w:t>
        <w:br/>
        <w:t xml:space="preserve">Decision No. 10-DCC-05 of January 21, 2010  </w:t>
        <w:br/>
        <w:t xml:space="preserve">regarding the exclusive control of the company Cari Holding  </w:t>
        <w:br/>
        <w:t xml:space="preserve">by the company Fayat  </w:t>
        <w:br/>
        <w:t xml:space="preserve">The Competition Authority,  </w:t>
        <w:br/>
        <w:t xml:space="preserve">Having regard to the notification file submitted in full to the merger service on December 15, 2009, regarding the exclusive control of the company Cari Holding by the company Fayat, formalized by an acquisition protocol signed on November 26, 2009;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Fayat, whose capital is wholly owned by the Clément Fayat family, is the parent company of the Fayat group (hereinafter "Fayat"). It is organized into 6 major divisions corresponding to the different families of trades in which it operates: manufacturing of road equipment (37% of the group's activity), building and public works (which represent 30% of the group's activity), metal construction (15% of the group's activity), electricity, electronics and computing (10% of the group's activity), manufacturing of handling equipment (4% of the group's activity), and boiler-making.  </w:t>
        <w:br/>
        <w:t xml:space="preserve">2. The total worldwide turnover excluding taxes achieved by the Fayat group in 2008, the last closed financial year, amounts to 2.3 billion euros, of which 1.4 billion in France.  </w:t>
        <w:br/>
        <w:t xml:space="preserve">3. Cari Holding is the parent company of the Cari group (hereinafter "Cari"). Prior to the notified operation, this company was held 47.33% by NCM, 24.68% by N2CD, with the remainder of the capital held by CICLAD 3 FCPR. The Cari group, organized around several regional offices (Côte d'Azur, Mediterranean, South-West, Languedoc-Roussillon, Île-de-France, Alsace-Lorraine, Rhône-Alpes, Champagne-Ardenne Nord-Pas de Calais, and Var) primarily operates in the building and public works sectors.  </w:t>
        <w:br/>
        <w:t xml:space="preserve">4. The total worldwide turnover excluding taxes achieved by the Cari group in 2008, the last closed financial year, amounts to 383 million euros, exclusively in France.  </w:t>
        <w:br/>
        <w:t xml:space="preserve">5. Upon completion of the notified operation, the Fayat group will hold all the capital and voting rights of the company Cari Holding.  </w:t>
        <w:br/>
        <w:t xml:space="preserve">6. As it results in the exclusive control of the company Cari Holding by the company Fayat, the notified operation constitutes a concentration within the meaning of Article L. 430-1 of the Commercial Code. Given the turnovers of the companies concerned, the operation does not have a Community dimension. However, the thresholds mentioned in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7. Within construction activities, the French competition authorities distinguish between, on the one hand, the building sector, and on the other hand, the public works sector. In this case, the parties are simultaneously active in these two sectors.  </w:t>
        <w:br/>
        <w:t xml:space="preserve">A. THE PUBLIC WORKS SECTOR  </w:t>
        <w:br/>
        <w:t xml:space="preserve">1. DELIMITATION OF PRODUCT MARKETS  </w:t>
        <w:br/>
        <w:t xml:space="preserve">8. Based on a nomenclature established by the FNTP (National Federation of Public Works)1, the national competition authorities have considered2 that, given the level of specialization observed for these different categories of work, it is appropriate to distinguish several markets within the public works sector, namely:  </w:t>
        <w:br/>
        <w:t xml:space="preserve">- within road works, the markets for the manufacturing of pavement coating products, on the one hand, and a market for the laying of these coatings, on the other hand;  </w:t>
        <w:br/>
        <w:t xml:space="preserve">- the markets for open-air earthworks (simple and medium and large mass);  </w:t>
        <w:br/>
        <w:t xml:space="preserve">- the markets for railway works;  </w:t>
        <w:br/>
        <w:t xml:space="preserve">- the markets for special foundations;  </w:t>
        <w:br/>
        <w:t xml:space="preserve">- the markets for underground network works, piping and others (including water sector works);  </w:t>
        <w:br/>
        <w:t xml:space="preserve">1 The FNTP distinguishes twelve main categories of works: road works, general earthworks, underground works, works for long-distance piping and industrial piping networks, water sector works, electrical works, special foundations, maritime site works, railways, art structures and industrial equipment, art structures and industrial equipment in metal construction, and agricultural engineering works.  </w:t>
        <w:br/>
        <w:t xml:space="preserve">2 See Decision No. 09-DCC-43 of the Competition Authority dated September 14, 2009, the opinion of the Competition Council No. 01-A-08 of June 5, 2001 regarding the acquisition of the GTM group by the company Vinci, as well as the letter from the Minister of Economy dated December 1, 2008 No. C2008-116.  </w:t>
        <w:br/>
        <w:t xml:space="preserve">- the general civil engineering markets, primarily including art structures and industrial equipment, civil engineering of factories, civil engineering of water treatment plants and reservoirs, and secondly, underground works (underground circulation structures, water supply or drainage, storage) and thirdly, works in maritime or river sites;  </w:t>
        <w:br/>
        <w:t xml:space="preserve">9. There is no need to revisit this delimitation on the occasion of the present operation.  </w:t>
        <w:br/>
        <w:t xml:space="preserve">10. In this case, the parties are simultaneously present in the following markets:  </w:t>
        <w:br/>
        <w:t xml:space="preserve">- the markets for simple and medium open-air earthworks;  </w:t>
        <w:br/>
        <w:t xml:space="preserve">- the markets for water sector works for the needs of urban and rural agglomerations, communities, and industries in water, various fluids, and sanitation;  </w:t>
        <w:br/>
        <w:t xml:space="preserve">- the market for art structures and industrial equipment carried out in the open air, civil engineering of factories, civil engineering of water treatment plants and reservoirs;  </w:t>
        <w:br/>
        <w:t xml:space="preserve">- and the market for underground works (underground circulation structures, water supply or drainage, storage).  </w:t>
        <w:br/>
        <w:t xml:space="preserve">2. DELIMITATION OF GEOGRAPHICAL MARKETS  </w:t>
        <w:br/>
        <w:t xml:space="preserve">11. National decision-making practice has noted3 that, in their vast majority, public works activities have a local dimension. It has also not been excluded that certain product markets may have a national dimension. In its Decision No. COMP/M.46234, the European Commission thus retains a market of national dimension concerning art structures and industrial equipment carried out in the open air.  </w:t>
        <w:br/>
        <w:t xml:space="preserve">12. In this case, the analysis will be conducted at the regional level and, additionally, at the national level for all the markets concerned, except for the market for art structures and industrial equipment carried out in the open air for which the analysis will be conducted at the national level, in line with community practice. However, the question of the exact geographical definition may remain open insofar as, regardless of the delimitation retained, the conclusions of the competitive analysis will remain unchanged.  </w:t>
        <w:br/>
        <w:t xml:space="preserve">13. At the national level, the parties to the operation are simultaneously active in the markets previously identified in paragraph 10. Furthermore, at the local level, the activities of the parties overlap in the following regions:  </w:t>
        <w:br/>
        <w:t xml:space="preserve">- PACA, Languedoc-Roussillon, Rhône-Alpes, and Midi-Pyrénées concerning simple and medium open-air earthworks;  </w:t>
        <w:br/>
        <w:t xml:space="preserve">- PACA and Rhône-Alpes concerning water sector works;  </w:t>
        <w:br/>
        <w:t xml:space="preserve">- Rhône-Alpes concerning underground works.  </w:t>
        <w:br/>
        <w:t xml:space="preserve">3 See in particular Decision No. 09-DCC-43 of the Competition Authority as well as the letter from the Minister of Economy No. C2008-116 mentioned above.  </w:t>
        <w:br/>
        <w:t>4 See the decision of the European Commission, No. COMP/4623 Vinci-Solétanche of July 24, 2007.</w:t>
      </w:r>
    </w:p>
    <w:p>
      <w:r>
        <w:rPr>
          <w:b/>
        </w:rPr>
        <w:t>[Pages 4–6]</w:t>
      </w:r>
    </w:p>
    <w:p>
      <w:r>
        <w:t xml:space="preserve">B. THE CONSTRUCTION SECTOR  </w:t>
        <w:br/>
        <w:t xml:space="preserve">1. DELINEATION OF PRODUCT MARKETS  </w:t>
        <w:br/>
        <w:t xml:space="preserve">14. Competition authorities, both national and community, distinguish in this sector the structural work, which concerns the building's structure (foundation, walls, roofing...), from the finishing work, which concerns the dressing and equipment of said structure (various supply networks, insulation...)5.  </w:t>
        <w:br/>
        <w:t xml:space="preserve">15. The parties to the operation are simultaneously active in the markets for structural work as well as those for finishing work.  </w:t>
        <w:br/>
        <w:t xml:space="preserve">16. Whether within the structural work or the finishing work, decision-making practice considers a first segmentation according to whether the work is carried out for professional clients (public and commercial) or individuals. A second segmentation according to the use of the building, distinguishing between residential and non-residential buildings, has also been considered.  </w:t>
        <w:br/>
        <w:t xml:space="preserve">17. With regard specifically to finishing work, competition authorities6 have questioned a possible segmentation by trade:  </w:t>
        <w:br/>
        <w:t xml:space="preserve">- painting work (industrial, exterior painting, and façade renovation);  </w:t>
        <w:br/>
        <w:t xml:space="preserve">- plastering work (application of powder plaster and plasterboard, apart from the installation of plasterboard forming ceilings and partitions);  </w:t>
        <w:br/>
        <w:t xml:space="preserve">- ceiling work (installation of stretched, suspended, or plasterboard ceilings);  </w:t>
        <w:br/>
        <w:t xml:space="preserve">- partition work (installation of separation partitions, modular partitions, or plasterboard partitions);  </w:t>
        <w:br/>
        <w:t xml:space="preserve">- carpentry work (on wood, plastic, or metal).  </w:t>
        <w:br/>
        <w:t xml:space="preserve">18. In this case, regarding both structural work and finishing work, the activities of the parties overlap in the markets for buildings intended for professionals and individuals as well as in the markets for residential and non-residential buildings.  </w:t>
        <w:br/>
        <w:t xml:space="preserve">19. There is no need to challenge these delineations in the examination of the present operation. In any case, in the absence of competitive issues, the question of the exact delineation of the construction markets may remain open.  </w:t>
        <w:br/>
        <w:t xml:space="preserve">2. DELINEATION OF GEOGRAPHICAL MARKETS  </w:t>
        <w:br/>
        <w:t xml:space="preserve">20. Community and national competition authorities consider, for the construction markets, a national dimension7.  </w:t>
        <w:br/>
        <w:t xml:space="preserve">21. National decision-making practice8 has also considered, in the specific case of finishing work, a regional dimension due in particular to the significant number of local players. However, national practice notes that for certain large-scale projects, the dimension of the finishing work markets may exceed the region.  </w:t>
        <w:br/>
        <w:t xml:space="preserve">22. In this case, the analysis will be conducted at the national level for both structural and finishing work. The effects of the operation will also be analyzed, regarding the markets for finishing work, at the level of the regions PACA, Aquitaine, Languedoc-Roussillon, Picardy, Rhône-Alpes, Champagne-Ardenne, and Nord Pas-de-Calais, in which the parties are simultaneously active.  </w:t>
        <w:br/>
        <w:t xml:space="preserve">III. Competitive Analysis  </w:t>
        <w:br/>
        <w:t xml:space="preserve">A. THE PUBLIC WORKS SECTOR  </w:t>
        <w:br/>
        <w:t xml:space="preserve">1. THE MARKETS FOR SIMPLE AND MEDIUM OPEN-AIR EARTHWORKS  </w:t>
        <w:br/>
        <w:t xml:space="preserve">23. The parties indicated that they were unable to find data specific to simple and medium open-air earthworks, with the FNTP only providing information related to earthworks as a whole (including large-scale earthworks).  </w:t>
        <w:br/>
        <w:t xml:space="preserve">24. At the national level, the market share of the new entity will be [0-5]% (i.e., [0-5]% for Fayat and [0-5]% for Cary). At the local level, the operation results in overlaps of activities within the regions Midi-Pyrénées, PACA, Languedoc-Roussillon, and Rhône-Alpes. According to the parties' estimates, the position of the Fayat group will remain below [0-5]% in each of the aforementioned regions, with low market share additions ([0-5]% in Midi-Pyrénées, [0-5]% in the PACA region, [0-5]% in Languedoc-Roussillon, and [0-5]% in Rhône-Alpes).  </w:t>
        <w:br/>
        <w:t xml:space="preserve">2. THE MARKETS FOR WATER SECTOR WORKS  </w:t>
        <w:br/>
        <w:t xml:space="preserve">25. At the national level, the market share of the Fayat group will, following the present operation, be [0-5]%, with a very low market share addition ([0-5]%). At the local level, the operation results in overlaps of activities within the regions PACA and Rhône-Alpes. According to the parties' estimates, the position of the Fayat group will remain below [0-5]%, with low market share additions ([0-5]% in Rhône-Alpes and [0-5]% in the PACA region).  </w:t>
        <w:br/>
        <w:t xml:space="preserve">3. THE MARKET FOR ART STRUCTURES AND INDUSTRIAL EQUIPMENT IN OPEN AIR  </w:t>
        <w:br/>
        <w:t xml:space="preserve">26. At the national level, the market share of the Fayat group will, following the present operation, be [5-10]%, with a very low market share addition ([0-5]%).  </w:t>
        <w:br/>
        <w:t xml:space="preserve">4. THE MARKETS FOR UNDERGROUND WORKS  </w:t>
        <w:br/>
        <w:t xml:space="preserve">27. At the national level, the market share of the new entity will be [5-10]%, with a very low market share addition ([0-5]%). At the local level, the operation only results in overlaps of activities in the Rhône-Alpes region. Within this region, the position of the Fayat group will change, following the operation, from [5-10]% to [5-10]%.  </w:t>
        <w:br/>
        <w:t xml:space="preserve">* * *  </w:t>
        <w:br/>
        <w:t xml:space="preserve">28. The parties have not been able to accurately estimate the market shares of their competitors at both the national and regional levels. Nevertheless, they have pointed out the presence, in the various markets of the public works sector, of large national groups such as Vinci, Bouygues, and Eiffage.  </w:t>
        <w:br/>
        <w:t xml:space="preserve">29. In light of the above, the present operation is not likely to harm competition in the various markets of the public works sector.  </w:t>
        <w:br/>
        <w:t xml:space="preserve">B. THE CONSTRUCTION SECTOR  </w:t>
        <w:br/>
        <w:t xml:space="preserve">30. Regarding both structural work and finishing work, the activities of the parties overlap in the markets for buildings intended for professionals and individuals as well as in the markets for residential and non-residential buildings.  </w:t>
        <w:br/>
        <w:t xml:space="preserve">1. STRUCTURAL WORK  </w:t>
        <w:br/>
        <w:t xml:space="preserve">31. Following the present operation, the position of the new entity in each of the four markets specified in the previous paragraph will remain below [0-5]%. Furthermore, it will continue to face competition from powerful groups such as Vinci, Bouygues, and Eiffage.  </w:t>
        <w:br/>
        <w:t xml:space="preserve">32. It follows from the above that the notified operation is not likely to harm competition in the various markets for structural work.  </w:t>
        <w:br/>
        <w:t xml:space="preserve">2. FINISHING WORK  </w:t>
        <w:br/>
        <w:t xml:space="preserve">33. At the national level, the market shares of the Fayat group, following the proposed operation, will be below [0-5]% in each of the markets where the operation results in an overlap. At the regional level, the positions of the new entity will remain below [5-10]% in the various concerned markets. Moreover, in these markets, the new entity will continue to face competition from the previously mentioned groups, along with numerous companies of various sizes, the competitive structure in the finishing work sector being very fragmented, as national competition authorities have already noted.  </w:t>
        <w:br/>
        <w:t>34. Due to a lack of data, the parties have been unable to calculate their positions in the various markets of finishing work segmented by the relevant trades. However, given their low market share, both at the national and regional levels, in the various segments of residential buildings, non-residential buildings, and buildings intended for professionals and individuals, as well as the presence of numerous competitors, the present</w:t>
      </w:r>
    </w:p>
    <w:p>
      <w:r>
        <w:rPr>
          <w:b/>
        </w:rPr>
        <w:t>[Pages 7–7]</w:t>
      </w:r>
    </w:p>
    <w:p>
      <w:r>
        <w:t xml:space="preserve">the operation is not likely to harm competition in the finishing work markets regardless of the segmentations chosen.  </w:t>
        <w:br/>
        <w:t xml:space="preserve">DECIDES  </w:t>
        <w:br/>
        <w:t xml:space="preserve">Sole Article: The operation notified under number 09-0135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