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https://www.autoritedelaconcurrence.fr/fr/decision-de-controle-des-concentrations/relative-la-prise-de-controle-exclusif-de-la-societe-caroll</w:t>
      </w:r>
    </w:p>
    <w:p>
      <w:r>
        <w:t>Pages translated : 8</w:t>
      </w:r>
    </w:p>
    <w:p/>
    <w:p>
      <w:r>
        <w:rPr>
          <w:b/>
        </w:rPr>
        <w:t>[Pages 1–3]</w:t>
      </w:r>
    </w:p>
    <w:p>
      <w:r>
        <w:t>FRENCH REPUBLIC</w:t>
        <w:br/>
        <w:t>Decision No. 21-DCC-166 of September 29, 2021</w:t>
        <w:br/>
        <w:t>concerning the exclusive control of</w:t>
        <w:br/>
        <w:t>the company Caroll International by the Beaumanoir group</w:t>
        <w:br/>
        <w:t>The Competition Authority,</w:t>
        <w:br/>
        <w:t>Having regard to the notification file submitted in full to the concentrations service on September 6, 2021,</w:t>
        <w:br/>
        <w:t>concerning the exclusive control of the company Caroll International by the Beaumanoir group,</w:t>
        <w:br/>
        <w:t>formalized by a purchase promise dated June 4, 2021;</w:t>
        <w:br/>
        <w:t>Having regard to Book IV of the Commercial Code relating to price freedom and competition, and</w:t>
        <w:br/>
        <w:t>in particular its Articles L. 430-1 to L. 430-7;</w:t>
        <w:br/>
        <w:t>Having regard to the additional elements submitted by the notifying party during the investigation;</w:t>
        <w:br/>
        <w:t>Having regard to the other documents in the file;</w:t>
        <w:br/>
        <w:t>Adopts the following decision:</w:t>
      </w:r>
    </w:p>
    <w:p>
      <w:r>
        <w:t>I. The companies involved and the transaction</w:t>
        <w:br/>
        <w:t>1. CCV Beaumanoir1 is a company exclusively controlled by the Beaumanoir family, whose entire holdings constitute the Beaumanoir group (hereinafter "Beaumanoir" or the "acquirer"). This group’s main activity is the retail sale of ready-to-wear clothing in stores and online. It has stores in France and abroad operated under the brands Bonobo, Bréal, Cache Cache, La Halle, Morgan, and Vib’s. The latter operates sales outlets where the Beaumanoir group brands Bonobo, Bréal, and Cache Cache are distributed.</w:t>
        <w:br/>
        <w:t>2. The company Caroll International SA is the parent company of the Caroll group, which comprises seven subsidiaries operating an international network of 441 sales outlets under the Caroll brand, including 283 in France (hereinafter "Caroll" or "the target").</w:t>
        <w:br/>
        <w:t>3. The transaction, materialized by a purchase promise dated June 4, 2021, consists of Beaumanoir acquiring 99.99% of the shares of Caroll International SA.</w:t>
        <w:br/>
        <w:t>4. Insofar as it results in the exclusive control of Caroll by Beaumanoir, the notified transaction constitutes a concentration within the meaning of Article L. 430-1 of the Commercial Code.</w:t>
        <w:br/>
        <w:t>5. The companies involved together generate a total worldwide turnover of over 75 million euros (Beaumanoir: approximately [&gt;75] million euros for the fiscal year ending February 28, 2021; Caroll: approximately [&gt;75] million euros for the fiscal year ending August 31, 2020). Each of these companies generates, in France, a turnover exceeding 15 million euros in the retail sector (Beaumanoir: approximately [&gt;15] million euros for the fiscal year ending February 28, 2021; Caroll: approximately [&gt;15] million euros for the fiscal year ending August 31, 2020). Given these turnover figures, the transaction does not have a European dimension. However, the control thresholds mentioned in II. of Article L. 430-2 of the Commercial Code are exceeded. This transaction is therefore subject to the provisions of Articles L. 430-3 and following of the Commercial Code, relating to economic concentration.</w:t>
        <w:br/>
        <w:t>II. Definition of the relevant markets</w:t>
        <w:br/>
        <w:t>A. UPSTREAM MARKETS OF SUPPLY</w:t>
        <w:br/>
        <w:t>6. In the sector of distributor supply, competition authorities consider that producers cannot easily switch to manufacturing products other than their own. They distinguish as many markets as there are families of products. Thus, the Competition Authority (hereinafter "the Authority") has notably considered a market for the supply of shoes, distinct from a market for the supply of clothing2.</w:t>
        <w:br/>
        <w:t>1 The capital of CCV Beaumanoir is held directly and indirectly at a rate of […] % by the Beaumanoir family.</w:t>
        <w:br/>
        <w:t>2 See, in particular, the decisions of the Competition Authority No. 10-DCC-42 of May 25, 2010, concerning the acquisition by the company 3 Suisses International SA of certain assets of the company La Source and No. 21-DCC-43 of March 24, 2021, concerning the exclusive control of assets of the company La Halle by the Beaumanoir family.</w:t>
        <w:br/>
        <w:t>2</w:t>
      </w:r>
    </w:p>
    <w:p>
      <w:r>
        <w:t>7. In this case, the parties simultaneously source men's and women's clothing and footwear.</w:t>
        <w:br/>
        <w:t>8. The markets for sourcing clothing and footwear have, according to decision-making practice, a global dimension3.</w:t>
        <w:br/>
        <w:t>B. DOWNSTREAM MARKETS OF RETAIL DISTRIBUTION</w:t>
        <w:br/>
        <w:t>1. PRODUCT MARKETS</w:t>
        <w:br/>
        <w:t>a) Retail distribution markets for clothing</w:t>
        <w:br/>
        <w:t>9. Regarding the retail distribution of clothing, the Authority has considered several segmentations based on (i) the gender and age of consumers (men, women, children) and (ii) the range of products sold (entry-level, mid-range, and high-end)4.</w:t>
        <w:br/>
        <w:t>10. Concerning distribution channels, the Authority has, to date, distinguished between sales made in physical stores and remote sales (online and by mail)5. The market for the distribution of clothing in stores is, finally, further segmented between sales in specialized boutiques, sales in large specialized stores ("GSS"), and in large food stores ("GSA")6.</w:t>
        <w:br/>
        <w:t>11. The question of the exact definition of the retail distribution markets for clothing may, however, be left open insofar as, regardless of the segmentation retained, the conclusions of the competitive analysis remain unchanged.</w:t>
        <w:br/>
        <w:t>12. In this case, the notifying party, which has notably relied on price surveys and a marketing study, indicates that the Caroll brand has a mid-range commercial positioning. Regarding its own brands, the notifying party considers that, except for La Halle which has an entry-level positioning, its various brands (Cache Cache, Bonobo, Bréal, and Morgan) are positioned in the mid-range7. It specifies, however, that the Morgan brand would be situated in the upper segment of the mid-range (mid-range/start of high-end).</w:t>
        <w:br/>
        <w:t>13. The transaction thus results in an overlap of activity in the mid-range women's clothing distribution markets, in which the target is active through the Caroll brand, and Beaumanoir is active through the brands Cache Cache, Bonobo, Bréal, Morgan, and Vib’s.</w:t>
        <w:br/>
        <w:t>b) Retail distribution markets for shoes</w:t>
        <w:br/>
        <w:t>14. As with the retail distribution of clothing, the Authority has segmented the retail distribution markets for shoes based on (i) the gender and age of consumers</w:t>
        <w:br/>
        <w:t>3 See, in particular, the decisions of the Competition Authority No. 10-DCC-77 of July 9, 2010, concerning the exclusive control of the company Afibel SAS by the company Damartex SA, and No. 21-DCC-43 cited above.</w:t>
        <w:br/>
        <w:t>4 See, in particular, the decisions of the Competition Authority No. 10-DCC-139 of October 27, 2010, concerning the joint control of Maje, Sandro, Claudie Pierlot, and HF Biousse by L Capital and Florac, and No. 21-DCC-43 cited above.</w:t>
        <w:br/>
        <w:t>5 See, in particular, the decisions No. 10-DCC-77 and No. 21-DCC-43 cited above.</w:t>
        <w:br/>
        <w:t>6 Ibid.</w:t>
        <w:br/>
        <w:t>7 The Vib’s brand is a multi-brand concept consisting of stores that group the brands Cache Cache and Bonobo and stores that associate the same brands with the Bréal brand.</w:t>
        <w:br/>
        <w:t>3</w:t>
      </w:r>
    </w:p>
    <w:p>
      <w:r>
        <w:rPr>
          <w:b/>
        </w:rPr>
        <w:t>[Pages 4–6]</w:t>
      </w:r>
    </w:p>
    <w:p>
      <w:r>
        <w:t>(men, women, children) and (ii) the range of products sold (entry-level, mid-range, and high-end)8.</w:t>
      </w:r>
    </w:p>
    <w:p>
      <w:r>
        <w:t>15. It also distinguished between the distribution of indoor shoes and the distribution of outdoor shoes, making a distinction between city shoes and sports shoes9.</w:t>
      </w:r>
    </w:p>
    <w:p>
      <w:r>
        <w:t>16. The markets for shoe distribution in stores are segmented by distribution channel, between sales in specialized boutiques and sales in large specialized stores (GSS) and large food stores (GSA)10. Furthermore, regarding a possible segmentation between online sales and physical store sales, the Authority considered, in decision no. 18-DCC-50 concerning the exclusive control acquisition of the company Sarenza by the company Monoprix, the existence of a single market including all distribution channels, without, however, resolving the issue11.</w:t>
      </w:r>
    </w:p>
    <w:p>
      <w:r>
        <w:t>17. The question of the exact definition of the markets for retail distribution of shoes can, however, be left open insofar as, regardless of the segmentation retained, the conclusions of the competitive analysis remain unchanged.</w:t>
      </w:r>
    </w:p>
    <w:p>
      <w:r>
        <w:t>18. In this case, the parties are simultaneously active in the retail distribution market, both in stores and online, of mid-range women's shoes through the Caroll brand, targeting, and the brands Bonobo, Bréal, Cache Cache, Morgan, and Vib’s, concerning the acquirer.</w:t>
      </w:r>
    </w:p>
    <w:p>
      <w:r>
        <w:t>c) Market for the retail distribution of discounted products</w:t>
      </w:r>
    </w:p>
    <w:p>
      <w:r>
        <w:t>19. The Authority has recognized the existence of a market for the retail distribution of low-priced items in which stores specialized in the clearance of branded products or the sale of discounted products sell items at low prices to consumers. It has considered a segmentation of this market by product family and by distribution channel12. Regarding the distribution of discounted clothing, the Authority has recently considered a distinction based on age and gender13.</w:t>
      </w:r>
    </w:p>
    <w:p>
      <w:r>
        <w:t>20. In the present case, the parties to the transaction have clearance stores in which they distribute unsold stock (women's clothing and shoes) from previous collections at prices lower than those practiced in traditional stores14.</w:t>
      </w:r>
    </w:p>
    <w:p>
      <w:r>
        <w:t>21. In this case, it is not necessary to revisit this market delimitation for the retail distribution of discounted products, as the conclusions of the competitive analysis remain unchanged, regardless of the segmentation retained.</w:t>
      </w:r>
    </w:p>
    <w:p>
      <w:r>
        <w:t>8 See, in particular, decisions no. 10-DCC-139 and no. 21-DCC-43 cited above.</w:t>
      </w:r>
    </w:p>
    <w:p>
      <w:r>
        <w:t>9 Decision of the Authority no. 18-DCC-50 of April 20, 2018, concerning the exclusive control acquisition of the company Sarenza SA by the company Monoprix SAS (Casino group).</w:t>
      </w:r>
    </w:p>
    <w:p>
      <w:r>
        <w:t>10 See, in particular, decisions no. 10-DCC-139 and no. 21-DCC-43 cited above.</w:t>
      </w:r>
    </w:p>
    <w:p>
      <w:r>
        <w:t>11 Decision of the Competition Authority no. 18-DCC-50 of April 20, 2018, concerning the exclusive control acquisition of the company Sarenza SA by the company Monoprix SAS (Casino group).</w:t>
      </w:r>
    </w:p>
    <w:p>
      <w:r>
        <w:t>12 See, in particular, decisions of the Competition Authority no. 12-DCC-88 of June 20, 2012, concerning the exclusive control acquisition of the company Stokomani Holding SAS by the company Sagard SAS and no. 18-DCC-150 cited above and Decision 19-DCC-162 of August 23, 2019, concerning the exclusive control acquisition of the De Fursac group by the Sandro Maje Claudie Pierlot group.</w:t>
      </w:r>
    </w:p>
    <w:p>
      <w:r>
        <w:t>13 Decision of the Authority no. 21-DCC-128 of July 22, 2021, concerning the exclusive control acquisition of assets of the Kidiliz group by the Idkids group.</w:t>
      </w:r>
    </w:p>
    <w:p>
      <w:r>
        <w:t>14 The parties are not present in the market for sourcing discounted products.</w:t>
      </w:r>
    </w:p>
    <w:p>
      <w:r>
        <w:t>2. GEOGRAPHICAL MARKETS</w:t>
      </w:r>
    </w:p>
    <w:p>
      <w:r>
        <w:t>22. Regarding the retail distribution of shoes, clothing, and discounted products, the Authority considers that competition occurs between sales outlets located in catchment areas. Two criteria are used to delineate these areas15:</w:t>
        <w:br/>
        <w:t>- on the one hand, for specialized boutiques, there are as many geographical markets as there are cities where retailers likely to sell these items are located, each of these markets corresponding to the commercial attraction zone of the city in which a store of the parties is located;</w:t>
        <w:br/>
        <w:t>- on the other hand, for GSS and GSA, the geographical market corresponds to a radius of 20 minutes by car from a store of the parties. This delimitation is also retained for specialized boutiques located in shopping centers adjacent to GSS or GSA.</w:t>
      </w:r>
    </w:p>
    <w:p>
      <w:r>
        <w:t>23. Furthermore, the growing weight in this sector of specialized distribution chains, consisting of networks of sales outlets under a common brand, operated independently, as franchises, or in purchasing groups and present throughout the national territory raises the question of the relevance of a complementary analysis at the national level16.</w:t>
      </w:r>
    </w:p>
    <w:p>
      <w:r>
        <w:t>24. Finally, regarding remote sales of these items, the decision-making practice of competition authorities retains a national delimitation, due to linguistic differences and the heterogeneity of consumer habits within the European Union, as well as the homogeneity of costs and delivery times at the national level.</w:t>
      </w:r>
    </w:p>
    <w:p>
      <w:r>
        <w:t>25. In this case, Caroll primarily distributes its items through chains of specialized boutiques. Caroll also distributes its items through clearance stores and online. The competitive analysis of the effects of the transaction on the downstream retail distribution markets will thus be conducted at the national and local levels. The local analysis will be conducted at the level of the areas where the parties' activities overlap. Given the typology of the target sales outlets (specialized boutiques, which are either located in city centers or situated in shopping centers adjacent to GSS or GSA), these areas correspond, depending on the case, to the commercial attraction zones of cities or to areas within a radius of 20 minutes by car around the target boutiques located in shopping centers.</w:t>
      </w:r>
    </w:p>
    <w:p>
      <w:r>
        <w:t>III. Competitive Analysis</w:t>
      </w:r>
    </w:p>
    <w:p>
      <w:r>
        <w:t>26. The parties are simultaneously active in the upstream markets for sourcing women's clothing and footwear (as buyers), as well as in the downstream retail distribution markets for these same products and for discounted products.</w:t>
      </w:r>
    </w:p>
    <w:p>
      <w:r>
        <w:t>1. UPSTREAM SOURCING MARKETS</w:t>
      </w:r>
    </w:p>
    <w:p>
      <w:r>
        <w:t>27. In the upstream markets for sourcing women's shoes and clothing, the notifying party estimated that the market share of the new entity will be less than 25%.</w:t>
      </w:r>
    </w:p>
    <w:p>
      <w:r>
        <w:t>15 Decisions no. 10-DCC-139, no. 10-DCC-159, and no. 16-DCC-166 cited above.</w:t>
      </w:r>
    </w:p>
    <w:p>
      <w:r>
        <w:t>16 See, in particular, decisions no. 10-DCC-139 and no. 21-DCC-43 cited above.</w:t>
      </w:r>
    </w:p>
    <w:p>
      <w:r>
        <w:t>28. Consequently, the transaction is not likely to harm competition in these markets.</w:t>
      </w:r>
    </w:p>
    <w:p>
      <w:r>
        <w:t>2. DOWNSTREAM RETAIL DISTRIBUTION MARKETS</w:t>
      </w:r>
    </w:p>
    <w:p>
      <w:r>
        <w:t>a) National Analysis</w:t>
      </w:r>
    </w:p>
    <w:p>
      <w:r>
        <w:t>29. At the national level, the downstream retail distribution activities of the parties to the transaction overlap in the markets for the distribution of mid-range clothing and shoes for women, as well as in the market for the retail distribution of discounted products for women.</w:t>
      </w:r>
    </w:p>
    <w:p>
      <w:r>
        <w:t>30. The new entity will have a market share of less than 25% in these national markets, regardless of the segmentation considered. It will notably face competition from other national brands, having physical stores and online sales sites, such as Camaïeu, Esprit, Armand Thiery Femme, Burton of London, Naf Naf, Superdry, Kookai, United Color of Benetton, Maison 123, Comptoir des Cotonniers, IKKS, Levis, and Zara.</w:t>
      </w:r>
    </w:p>
    <w:p>
      <w:r>
        <w:t>31. The transaction is therefore not likely to harm competition in these markets.</w:t>
      </w:r>
    </w:p>
    <w:p>
      <w:r>
        <w:t>b) Local Analysis</w:t>
      </w:r>
    </w:p>
    <w:p>
      <w:r>
        <w:t>32. At the local level, the parties17 are simultaneously present in 283 catchment areas18 for their retail distribution activities of women's shoes and clothing. However, they do not operate simultaneously in the same catchment areas for their retail distribution activities of discounted products.</w:t>
      </w:r>
    </w:p>
    <w:p>
      <w:r>
        <w:t>33. The quantitative analysis was conducted on the different segmentations considered by decision-making practice and in a conservative manner, as the market shares do not include online sales.</w:t>
      </w:r>
    </w:p>
    <w:p>
      <w:r>
        <w:t>34. Regarding the retail distribution of mid-range women's shoes, the market share of the new entity will be less than 25% across all areas, regardless of the segmentation considered. Moreover, consumers will be able to turn to competing brands of the new entity as well as to specialized stores exclusively selling shoes such as André, Jonak, San Marina, and Bocage.</w:t>
      </w:r>
    </w:p>
    <w:p>
      <w:r>
        <w:t>35. As for the retail distribution of mid-range women's clothing, any risk of harm to competition can be ruled out in 277 relevant catchment areas as, across all segmentations, the new entity will have a market share of less than 45%, in the presence of at least three competing brands.</w:t>
      </w:r>
    </w:p>
    <w:p>
      <w:r>
        <w:t>36. Conservatively and following the methodology that was applied in the context of decision no. 21-DCC-43 cited above, a qualitative analysis will be presented for the different catchment areas.</w:t>
      </w:r>
    </w:p>
    <w:p>
      <w:r>
        <w:t>17 Caroll operates in these markets through sales outlets under its eponymous brand, which are mostly specialized boutiques in the distribution of women's clothing and shoes. These are located in city centers or in shopping centers and each has a retail space of less than 400 m². Other specialized boutiques of the Caroll brand have an activity dedicated to the retail distribution of discounted products. It is noted that, out of the 292 target sales outlets located in France, nine of them are not included in the competitive analysis because, independently of the transaction, they have been closed or will be closed soon. Regarding the sales outlets of the Beaumanoir group, they are mostly specialized boutiques located in city centers or in shopping centers and mostly have a retail space of less than 400 m², except for the sales outlets of the Vib’s brand, one sales outlet of the Cache Cache brand located in Tourville-la-Rivière (76), and one sales outlet under the Bonobo brand located in L’Isle-d’Abeau (38). Some of the acquirer's sales outlets have an activity dedicated to the retail distribution of discounted products.</w:t>
      </w:r>
    </w:p>
    <w:p>
      <w:r>
        <w:t>18 Namely in 165 cities where the target specialized boutiques are located in city centers and in 118 isochrone areas within a radius of 20 minutes by car around the target specialized boutiques located in shopping centers adjacent to GSS or GSA.</w:t>
      </w:r>
    </w:p>
    <w:p>
      <w:r>
        <w:rPr>
          <w:b/>
        </w:rPr>
        <w:t>[Pages 7–8]</w:t>
      </w:r>
    </w:p>
    <w:p>
      <w:r>
        <w:t>zones in which the market shares of the new entity will exceed 45% or in the presence of fewer than three competing brands19.</w:t>
      </w:r>
    </w:p>
    <w:p>
      <w:r>
        <w:t>37. Within six catchment areas, namely those of Mandelieu (06), Dinan (22), Redon (35), Marmande (47), Saverne (67), and Colombes (92), it follows from the conservative quantitative analysis (not taking into account online sales penetration) set out below that the new entity will have a market share exceeding 45%, or will face competition from fewer than three brands in certain segmentations.</w:t>
      </w:r>
    </w:p>
    <w:p>
      <w:r>
        <w:t>38. In the areas of Mandelieu, Dinan, Marmande, and Saverne, the new entity will hold market shares between [40-50]% and [50-60]% (with an addition of market shares between [0-5] and [10-20] points) in the retail distribution of women's clothing, mid-range, in physical stores:</w:t>
        <w:br/>
        <w:t>- in the Mandelieu area, the market share of the new entity will reach [40-50]% in the retail distribution of women's clothing, mid-range, in physical stores, with an addition of market shares of [5-10] points. The new entity will, however, face competition from eight operators, including the brands Camaïeu ([10-20]%), Pourquoi Pas ([10-20]%), and Promod ([5-10]%);</w:t>
        <w:br/>
        <w:t>- in the Dinan area, the market share of the new entity will reach [50-60]% in the retail distribution of women's clothing, mid-range, in physical stores, with an addition of market shares of [0-5] points. The new entity will, however, face competition from seven operators, including the brands Camaïeu ([5-10]%), Sud Express ([5-10]%), and Burton of London ([5-10]%);</w:t>
        <w:br/>
        <w:t>- in the Marmande area, the market share of the new entity will reach 46.6% in the retail distribution of women's clothing, mid-range, in physical stores, with an addition of market shares of [10-20] points. The new entity will, however, face competition from five operators, including the brands Naf Naf ([10-20]%), Riu Paris ([10-20]%), and Camaïeu ([10-20]%);</w:t>
        <w:br/>
        <w:t>- in the Saverne area, the market share of the new entity will reach [40-50]% in the retail distribution of women's clothing, mid-range, in specialized boutiques only, with an addition of market shares of [5-10] points. The new entity will, however, face competition from four operators, including the brands Camaïeu ([20-30]%) and Mise au Green ([0-5]%).</w:t>
      </w:r>
    </w:p>
    <w:p>
      <w:r>
        <w:t>39. Furthermore, in the areas of Redon and Colombes, the new entity, which will hold market shares below [40-50]% (with an addition of market shares between [5-10] and [5-10] points) in the retail distribution of women's clothing, mid-range, in physical stores, will face fewer than three competitors in each of these two areas:</w:t>
        <w:br/>
        <w:t>- in the Redon area, in the retail distribution of women's clothing, mid-range, in physical stores, the new entity, whose market share will reach [40-50]% with an addition of market shares of [5-10] points, will face competition from only two competitors. These are the brands Superstore ([40-50]%) and Esprit ([10-20]%);</w:t>
        <w:br/>
        <w:t>- in the Colombes area, in the retail distribution of women's clothing, mid-range, in specialized boutiques only, the new entity, whose market share will be [30-40]% with an addition of market shares of [5-10] points, will face competition from only two competitors. These are the brands Camaïeu ([50-60]%) and Antonelle ([10-20]%).</w:t>
      </w:r>
    </w:p>
    <w:p>
      <w:r>
        <w:t>40. Regarding the areas of Mandelieu, Dinan, Marmande, and Saverne, the new entity will face a minimum of four competitors.</w:t>
      </w:r>
    </w:p>
    <w:p>
      <w:r>
        <w:t>41. As for the areas of Redon and Colombes, it appears that consumers will still have the option to easily switch to competing sales outlets located in the immediate vicinity of the areas concerned, among which is a sales outlet of at least one competing national brand (such as Camaïeu or Esprit). It should also be noted that the notifying party indicates that, regarding the Redon area "due to a particular municipal division, the geographic market restricted to the city results in excluding a Camaïeu located in [the] neighboring city [of Saint-Nicolas-de-Redon] but less than 5 minutes from the target while a more distant Vib’s is maintained within the city"20. For the Colombes area, the notifying party recalls that the municipality is located in the inner Paris suburbs and that the city of Colombes is "close to many shopping centers, within which there are numerous mid-range women's ready-to-wear boutiques," including those "located in the Westfield Les 4 Temps shopping center, situated only 14 minutes by car from the city of Colombes"21.</w:t>
      </w:r>
    </w:p>
    <w:p>
      <w:r>
        <w:t>42. Moreover, regardless of the area considered, the new entity will remain subject to competitive pressure from online sales operators, who offer a wide range of clothing.</w:t>
      </w:r>
    </w:p>
    <w:p>
      <w:r>
        <w:t>43. The operation is therefore not likely to raise competition issues in the market for the retail distribution of mid-range women's clothing.</w:t>
      </w:r>
    </w:p>
    <w:p>
      <w:r>
        <w:t>44. In light of the above, the operation is not likely to harm competition.</w:t>
      </w:r>
    </w:p>
    <w:p>
      <w:r>
        <w:t>DECIDES</w:t>
      </w:r>
    </w:p>
    <w:p>
      <w:r>
        <w:t>Sole Article: The operation notified under number 21-127 is authorized.</w:t>
      </w:r>
    </w:p>
    <w:p>
      <w:r>
        <w:t>The Vice-President,</w:t>
        <w:br/>
        <w:t>Fabienne Siredey-Garnier</w:t>
        <w:br/>
        <w:t>© Competition Authority</w:t>
        <w:br/>
        <w:t>20 Letter from the notifying party dated July 16, 2021, p. 5.</w:t>
        <w:br/>
        <w:t>21 Letter from the notifying party dated August 11, 2021, p. 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