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https://www.autoritedelaconcurrence.fr/fr/decision-de-controle-des-concentrations/relative-la-prise-de-controle-exclusif-de-la-societe-carre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22-DCC-73 of April 22, 2022  </w:t>
        <w:br/>
        <w:t xml:space="preserve">regarding the exclusive control acquisition of the company Carré d’Or Distribution by the company C.S.F  </w:t>
        <w:br/>
        <w:t xml:space="preserve">The Competition Authority,  </w:t>
        <w:br/>
        <w:t xml:space="preserve">Having regard to the complete notification file submitted to the mergers department on April 6, 2022,  </w:t>
        <w:br/>
        <w:t xml:space="preserve">concerning the exclusive control acquisition of the company Carré d’Or Distribution by the company C.S.F,  </w:t>
        <w:br/>
        <w:t xml:space="preserve">formalized by a Share Transfer Protocol dated April 1,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C.S.F, controlled by  </w:t>
        <w:br/>
        <w:t xml:space="preserve">the Carrefour group, of the company Carré d’Or Distribution, which operates a  </w:t>
        <w:br/>
        <w:t xml:space="preserve">commercial establishment primarily focused on food of the supermarket type under the Carrefour Market brand with a  </w:t>
        <w:br/>
        <w:t xml:space="preserve">surface area of 1,540 m² located in Allauch (13). It constitutes a concentration operation within the meaning  </w:t>
        <w:br/>
        <w:t xml:space="preserve">of Article L. 430-1 of the Commercial Code. Given the turnover generated by the  </w:t>
        <w:br/>
        <w:t xml:space="preserve">concerned companies, the operation does not fall under the jurisdiction of the European Union. However, the control thresholds related to retail trade mentioned in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22-086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