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https://www.autoritedelaconcurrence.fr/fr/decision-de-controle-des-concentrations/relative-la-prise-de-controle-exclusif-de-la-societe-caudis</w:t>
      </w:r>
    </w:p>
    <w:p>
      <w:r>
        <w:t>Pages translated : 2</w:t>
      </w:r>
    </w:p>
    <w:p/>
    <w:p>
      <w:r>
        <w:rPr>
          <w:b/>
        </w:rPr>
        <w:t>[Pages 1–2]</w:t>
      </w:r>
    </w:p>
    <w:p>
      <w:r>
        <w:t>FRENCH REPUBLIC</w:t>
        <w:br/>
        <w:t>Decision No. 26-DCC-56 of February 16, 2026</w:t>
        <w:br/>
        <w:t>regarding the exclusive control acquisition of the company Caudis by the company FJTC</w:t>
        <w:br/>
        <w:t>The Competition Authority,</w:t>
        <w:br/>
        <w:t>Having regard to the complete notification file submitted to the mergers department on January 26, 2026, concerning the exclusive control acquisition of the company Caudis by the company FJTC, formalized by the signing of a transfer protocol under suspensive conditions on May 16, 2025;</w:t>
        <w:br/>
        <w:t>Having regard to Book IV of the Commercial Code relating to the freedom of prices and competition, and in particular its Articles L. 430-1 to L. 430-7;</w:t>
        <w:br/>
        <w:t>Adopts the following decision:</w:t>
        <w:br/>
        <w:t>1. The notified operation consists of the acquisition by the company FJTC of exclusive control of the company Caudis, which operates a hypermarket under the Super U brand located in Caussade (82), with an area of 2,840 m², including an attached drive, a laundromat, and a gas station. This operation constitutes a concentration within the meaning of Article L. 430-1 of the Commercial Code. Given the turnover achieved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26-030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