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https://www.autoritedelaconcurrence.fr/fr/decision-de-controle-des-concentrations/relative-la-prise-de-controle-exclusif-de-la-societe-cba</w:t>
      </w:r>
    </w:p>
    <w:p>
      <w:r>
        <w:t>Pages translated : 2</w:t>
      </w:r>
    </w:p>
    <w:p/>
    <w:p>
      <w:r>
        <w:rPr>
          <w:b/>
        </w:rPr>
        <w:t>[Pages 1–2]</w:t>
      </w:r>
    </w:p>
    <w:p>
      <w:r>
        <w:t>FRENCH REPUBLIC</w:t>
        <w:br/>
        <w:t>Decision No. 26-DCC-06 of January 13, 2026</w:t>
        <w:br/>
        <w:t>regarding the exclusive control acquisition of the company CBA Meubles</w:t>
        <w:br/>
        <w:t>by the P3G group</w:t>
        <w:br/>
        <w:t>The Competition Authority,</w:t>
        <w:br/>
        <w:t>Having regard to the complete notification file submitted to the mergers department on</w:t>
        <w:br/>
        <w:t>December 18, 2025, concerning the exclusive control acquisition of the company CBA Meubles by the</w:t>
        <w:br/>
        <w:t>P3G group, formalized by a memorandum of understanding dated November 13, 2025;</w:t>
        <w:br/>
        <w:t>Having regard to Book IV of the Commercial Code relating to the freedom of prices and competition, and</w:t>
        <w:br/>
        <w:t>notably its Articles L. 430-1 to L. 430-7;</w:t>
        <w:br/>
        <w:t>Adopts the following decision:</w:t>
        <w:br/>
        <w:t>1. The notified operation consists of the acquisition by the company P3G Group, itself</w:t>
        <w:br/>
        <w:t>exclusively controlled by the Parisot family, of the company CBA Meubles. The parties are</w:t>
        <w:br/>
        <w:t>primarily active in the sector of manufacturing and marketing of furniture products.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25-243 is authorized.</w:t>
        <w:br/>
        <w:t>The Vice-President,</w:t>
        <w:br/>
        <w:t>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