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https://www.autoritedelaconcurrence.fr/fr/decision-de-controle-des-concentrations/relative-la-prise-de-controle-exclusif-de-la-societe-cca</w:t>
      </w:r>
    </w:p>
    <w:p>
      <w:r>
        <w:t>Pages translated : 2</w:t>
      </w:r>
    </w:p>
    <w:p/>
    <w:p>
      <w:r>
        <w:rPr>
          <w:b/>
        </w:rPr>
        <w:t>[Pages 1–2]</w:t>
      </w:r>
    </w:p>
    <w:p>
      <w:r>
        <w:t xml:space="preserve">FRENCH REPUBLIC  </w:t>
        <w:br/>
        <w:t xml:space="preserve">Decision No. 14-DCC-73 of May 28, 2014  </w:t>
        <w:br/>
        <w:t xml:space="preserve">regarding the exclusive control acquisition of CCA Holding by  </w:t>
        <w:br/>
        <w:t xml:space="preserve">Vincent company  </w:t>
        <w:br/>
        <w:t xml:space="preserve">The Competition Authority,  </w:t>
        <w:br/>
        <w:t xml:space="preserve">Having regard to the notification file sent to the mergers department on April 18, 2014, and declared complete on May 6, 2014, concerning the exclusive control acquisition of CCA Holding by the Vincent SA group, materialized by a share transfer agreement dated April 15,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Vincent SA group of CCA Holding, active in automobile distribution in the departments of Cher (18) and Nièvre (58).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The present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14-065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