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https://www.autoritedelaconcurrence.fr/fr/decision-de-controle-des-concentrations/relative-la-prise-de-controle-exclusif-de-la-societe-ccm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23-DCC-88 of May 16, 2023  </w:t>
        <w:br/>
        <w:t xml:space="preserve">regarding the exclusive control acquisition of the company CCM by the company  </w:t>
        <w:br/>
        <w:t xml:space="preserve">HJC Invest  </w:t>
        <w:br/>
        <w:t xml:space="preserve">The Competition Authority,  </w:t>
        <w:br/>
        <w:t xml:space="preserve">Having regard to the complete notification file sent to the mergers department on April 24, 2023,  </w:t>
        <w:br/>
        <w:t xml:space="preserve">concerning the exclusive control acquisition of the company CCM by the company HJC Invest, formalized  </w:t>
        <w:br/>
        <w:t xml:space="preserve">by a transfer protocol dated April 14,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HJC Invest of the  </w:t>
        <w:br/>
        <w:t xml:space="preserve">company CCM, aimed at operating a retail business predominantly in the food sector of the supermarket type under the Super U brand located in La Bâthie (73). It constitutes  </w:t>
        <w:br/>
        <w:t xml:space="preserve">a concentration operation within the meaning of Article L. 430-1 of the Commercial Code. Given  </w:t>
        <w:br/>
        <w:t xml:space="preserve">the turnover generated by the companies concerned, the operation does not fall under the  </w:t>
        <w:br/>
        <w:t xml:space="preserve">jurisdiction of the European Union. On the other hand, the control thresholds related to retail  </w:t>
        <w:br/>
        <w:t xml:space="preserve">mentioned in II of Article L. 430-2 of the Commercial Code are exceeded. This  </w:t>
        <w:br/>
        <w:t xml:space="preserve">operation is therefore subject to the provisions of Articles L. 430-3 and following of the Commercial  </w:t>
        <w:br/>
        <w:t xml:space="preserve">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23-115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