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https://www.autoritedelaconcurrence.fr/fr/decision-de-controle-des-concentrations/relative-la-prise-de-controle-exclusif-de-la-societe-ccr-re</w:t>
      </w:r>
    </w:p>
    <w:p>
      <w:r>
        <w:t>Pages translated : 2</w:t>
      </w:r>
    </w:p>
    <w:p/>
    <w:p>
      <w:r>
        <w:rPr>
          <w:b/>
        </w:rPr>
        <w:t>[Pages 1–2]</w:t>
      </w:r>
    </w:p>
    <w:p>
      <w:r>
        <w:t xml:space="preserve">FRENCH REPUBLIC  </w:t>
        <w:br/>
        <w:t xml:space="preserve">Decision No. 23-DCC-113 of June 12, 2023  </w:t>
        <w:br/>
        <w:t xml:space="preserve">regarding the exclusive control acquisition of the company CCR Re by the  </w:t>
        <w:br/>
        <w:t xml:space="preserve">SMA group  </w:t>
        <w:br/>
        <w:t xml:space="preserve">The Competition Authority,  </w:t>
        <w:br/>
        <w:t xml:space="preserve">Having regard to the complete notification file submitted to the mergers department on May 23, 2023,  </w:t>
        <w:br/>
        <w:t xml:space="preserve">concerning the exclusive control acquisition of the company CCR Re by the SMA group, via the companies  </w:t>
        <w:br/>
        <w:t xml:space="preserve">Société mutuelle d’assurance du bâtiment et des travaux publics and Société mutuelle d’assurance  </w:t>
        <w:br/>
        <w:t xml:space="preserve">sur la vie du bâtiment et des travaux publics, formalized by a share transfer agreement dated April 8, 2023;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SMA group of the company  </w:t>
        <w:br/>
        <w:t xml:space="preserve">CCR Re. The SMA group is primarily active in the life and property insurance sector, while the company CCR Re is exclusively active in the reinsurance sector.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23-062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