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https://www.autoritedelaconcurrence.fr/fr/decision-de-controle-des-concentrations/relative-la-prise-de-controle-exclusif-de-la-societe-cdl</w:t>
      </w:r>
    </w:p>
    <w:p>
      <w:r>
        <w:t>Pages translated : 15</w:t>
      </w:r>
    </w:p>
    <w:p/>
    <w:p>
      <w:r>
        <w:rPr>
          <w:b/>
        </w:rPr>
        <w:t>[Pages 1–3]</w:t>
      </w:r>
    </w:p>
    <w:p>
      <w:r>
        <w:t xml:space="preserve">FRENCH REPUBLIC  </w:t>
        <w:br/>
        <w:t xml:space="preserve">Decision No. 22-DCC-145 of August 5, 2022  </w:t>
        <w:br/>
        <w:t xml:space="preserve">regarding the exclusive control of the company  </w:t>
        <w:br/>
        <w:t xml:space="preserve">CDL Holding by the company Finadorm  </w:t>
        <w:br/>
        <w:t xml:space="preserve">The Competition Authority,  </w:t>
        <w:br/>
        <w:t xml:space="preserve">Having regard to the notification file sent to the merger service on January 3, 2022, declared complete on April 14, 2022, regarding the exclusive control of the company CDL Holding by the company Finadorm, formalized by a share transfer promise dated December 9, 2021;  </w:t>
        <w:br/>
        <w:t xml:space="preserve">Having regard to Book IV of the Commercial Code relating to the freedom of prices and competition, and in particular its Articles L. 430-1 to L. 430-7;  </w:t>
        <w:br/>
        <w:t xml:space="preserve">Having regard to the commitments submitted on July 7, 2022, by the notifying party and last modified on August 4, 2022;  </w:t>
        <w:br/>
        <w:t xml:space="preserve">Having regard to the additional elements transmitted by the notifying party during the investigation;  </w:t>
        <w:br/>
        <w:t>Adopts the following decision:</w:t>
      </w:r>
    </w:p>
    <w:p>
      <w:r>
        <w:t xml:space="preserve">Summary1  </w:t>
        <w:br/>
        <w:t xml:space="preserve">By means of the decision below, the Authority examined the exclusive control of the company CDL Holding, the parent company of the CDL group, by the Finadorm group. In France, the CDL group operates 93 stores under the brand "La Compagnie du Lit," while the Finadorm group operates 94 stores under the brand "France Literie." France Literie and La Compagnie du Lit are two retail distribution brands of bedding products active throughout the metropolitan territory.  </w:t>
        <w:br/>
        <w:t xml:space="preserve">Given the activities of the parties, the Authority examined the horizontal effects of the operation on the upstream markets for the supply of high-end bedding products where the parties are simultaneously present as buyers, on the one hand, and on the downstream markets for the retail distribution of high-end bedding products, which are of a local dimension, on the other hand. It also examined the vertical effects of the operation, the acquirer also having a production and marketing activity for bedding products.  </w:t>
        <w:br/>
        <w:t xml:space="preserve">On the upstream supply markets, any risk of harm to competition through horizontal effects could be ruled out, given the limited market share of the parties.  </w:t>
        <w:br/>
        <w:t xml:space="preserve">On the downstream distribution markets, a competitive analysis was conducted on the 82 catchment areas where the operation leads to an overlap of activity between the parties.  </w:t>
        <w:br/>
        <w:t xml:space="preserve">In 80 areas, any risk of harm to competition through horizontal effects could be ruled out due to the limited market share of the new entity and the presence of at least two competing distributors of high-end products.  </w:t>
        <w:br/>
        <w:t xml:space="preserve">The Authority thoroughly examined the situation in two local areas (Saint-Lô and Cherbourg-Octeville) where the market share of the new entity will exceed 50%. In the Saint-Lô area, the Authority was able to rule out any risk of harm to competition through horizontal effects, given the maintenance of a diversified offer following the operation. In the Cherbourg-Octeville area, however, the Authority considered that the operation was likely to harm competition due to an insufficient alternative offer following the operation. To remedy this harm to competition, the Finadorm group proposed commitments aimed at eliminating the overlap of activity between the parties. These commitments are likely to address the concerns expressed by the Authority.  </w:t>
        <w:br/>
        <w:t xml:space="preserve">Finally, given the limited market shares of the acquirer regarding the production and marketing of bedding products as well as that of the new entity regarding the distribution of these products, the Authority ruled out any risk of harm to competition through vertical effects.  </w:t>
        <w:br/>
        <w:t xml:space="preserve">At the end of its competitive analysis, the Authority authorized the operation subject to conditions.  </w:t>
        <w:br/>
        <w:t>1 This summary is strictly informative. Only the reasons for the decision numbered below are authoritative.</w:t>
      </w:r>
    </w:p>
    <w:p>
      <w:r>
        <w:t xml:space="preserve">SUMMARY  </w:t>
        <w:br/>
        <w:t xml:space="preserve">I. THE COMPANIES CONCERNED AND THE TRANSACTION .............. 4  </w:t>
        <w:br/>
        <w:t xml:space="preserve">A. THE COMPANIES CONCERNED ..........................................................................4  </w:t>
        <w:br/>
        <w:t xml:space="preserve">B. THE TRANSACTION ................................................................................................4  </w:t>
        <w:br/>
        <w:t xml:space="preserve">II. DELINEATION OF RELEVANT MARKETS ........................... 5  </w:t>
        <w:br/>
        <w:t xml:space="preserve">A. PRODUCT MARKETS ..........................................................................................5  </w:t>
        <w:br/>
        <w:t xml:space="preserve">1. UPSTREAM MARKETS FOR THE SUPPLY OF BEDDING PRODUCTS .............5  </w:t>
        <w:br/>
        <w:t xml:space="preserve">2. DOWNSTREAM MARKETS FOR THE DISTRIBUTION OF BEDDING PRODUCTS ...........................5  </w:t>
        <w:br/>
        <w:t xml:space="preserve">B. GEOGRAPHIC MARKETS ..................................................................................6  </w:t>
        <w:br/>
        <w:t xml:space="preserve">1. UPSTREAM MARKETS FOR THE SUPPLY OF BEDDING PRODUCTS .............6  </w:t>
        <w:br/>
        <w:t xml:space="preserve">2. DOWNSTREAM MARKETS FOR THE DISTRIBUTION OF BEDDING PRODUCTS ...........................6  </w:t>
        <w:br/>
        <w:t xml:space="preserve">a) National level analysis ....................................................................... 6  </w:t>
        <w:br/>
        <w:t xml:space="preserve">b) Local level analysis ............................................................................. 7  </w:t>
        <w:br/>
        <w:t xml:space="preserve">III. COMPETITIVE ANALYSIS ...................................................... 7  </w:t>
        <w:br/>
        <w:t xml:space="preserve">A. ANALYSIS OF THE COMMERCIAL AUTONOMY OF FRANCHISEES ...............7  </w:t>
        <w:br/>
        <w:t xml:space="preserve">B. ANALYSIS OF HORIZONTAL EFFECTS ...............................................................8  </w:t>
        <w:br/>
        <w:t xml:space="preserve">1. UPSTREAM MARKETS FOR THE SUPPLY OF BEDDING PRODUCTS .............8  </w:t>
        <w:br/>
        <w:t xml:space="preserve">2. DOWNSTREAM MARKETS FOR THE DISTRIBUTION OF BEDDING PRODUCTS ...........................8  </w:t>
        <w:br/>
        <w:t xml:space="preserve">a) Inclusion of online sales .................................................................... 8  </w:t>
        <w:br/>
        <w:t xml:space="preserve">b) Analysis of horizontal effects ................................................................. 9  </w:t>
        <w:br/>
        <w:t xml:space="preserve">National analysis ...................................................................................................9  </w:t>
        <w:br/>
        <w:t xml:space="preserve">Analysis of local areas .......................................................................................9  </w:t>
        <w:br/>
        <w:t xml:space="preserve">C. ANALYSIS OF VERTICAL EFFECTS ....................................................................11  </w:t>
        <w:br/>
        <w:t xml:space="preserve">IV. COMMITMENTS ......................................................................... 12  </w:t>
        <w:br/>
        <w:t xml:space="preserve">A. PROPOSED COMMITMENTS ...........................................................................12  </w:t>
        <w:br/>
        <w:t xml:space="preserve">B. ASSESSMENT OF PROPOSED COMMITMENTS ...........................................12  </w:t>
        <w:br/>
        <w:t xml:space="preserve">1. ON THE PRINCIPLES GUIDING THE ASSESSMENT OF PROPOSED COMMITMENTS .................................................................................................................12  </w:t>
        <w:br/>
        <w:t xml:space="preserve">2. ON THE APPROPRIATENESS OF THE PROPOSED COMMITMENTS ..........................13  </w:t>
        <w:br/>
        <w:t>DECISION ..................................................................................................... 15</w:t>
      </w:r>
    </w:p>
    <w:p>
      <w:r>
        <w:rPr>
          <w:b/>
        </w:rPr>
        <w:t>[Pages 4–6]</w:t>
      </w:r>
    </w:p>
    <w:p>
      <w:r>
        <w:t xml:space="preserve">I. The Companies Concerned and the Transaction  </w:t>
        <w:br/>
        <w:t xml:space="preserve">A. THE COMPANIES CONCERNED  </w:t>
        <w:br/>
        <w:t xml:space="preserve">1. The company Finadorm, owned by Mr. Jean-Rémy Bergounhe, is a holding company that groups together all the companies of the Finadorm group. This group is active in the sector of distribution of bedding products through a network2 of 94 stores operated under the brand "France Literie" and located throughout the metropolitan territory. It is also present in the sector of manufacturing and marketing of mattresses and box springs.  </w:t>
        <w:br/>
        <w:t xml:space="preserve">2. The company CDL Holding is the holding company of the CDL group. It holds in particular […] of the share capital and voting rights of the company Sodipram, through which it operates a network of 93 bedding stores under the brand "La Compagnie du Lit", located throughout the metropolitan territory, some of which are operated in-house […] and others under franchise […].  </w:t>
        <w:br/>
        <w:t xml:space="preserve">B. THE TRANSACTION  </w:t>
        <w:br/>
        <w:t xml:space="preserve">3. The transaction consists of the exclusive takeover of the company CDL Holding by the company Finadorm, via a newly created company, "Newco", which will hold 100% of the capital of the target3.  </w:t>
        <w:br/>
        <w:t xml:space="preserve">4. Insofar as it results in the exclusive control of the company CDL Holding by the company Finadorm, the notified transaction constitutes a concentration operation within the meaning of Article L. 430-1 of the Commercial Code.  </w:t>
        <w:br/>
        <w:t xml:space="preserve">5. The companies concerned together achieve a total worldwide turnover excluding taxes of more than 75 million euros (Finadorm: [≥ 75 million] euros for the fiscal year ending June 30, 2021; CDL Holding: [≤ 75 million] euros for the fiscal year ending December 31, 2020). Each of these companies has achieved, in France, a turnover exceeding 15 million euros in retail trade (Finadorm: [≥ 15 million] euros for the fiscal year ending December 31, 2020; CDL Holding: [≥ 15 million] euros for the fiscal year ending December 31, 2019). Given these turnover figures, the transaction does not fall under the jurisdiction of the European Union. On the other hand, the control thresholds related to retail trade mentioned in II of Article L. 430-2 of the Commercial Code are exceeded. The present transaction is therefore subject to the provisions of Articles L. 430-3 and following of the Commercial Code relating to economic concentration.  </w:t>
        <w:br/>
        <w:t xml:space="preserve">2 This network is organized by the conclusion of licensing concession contracts for the brand "France Literie".  </w:t>
        <w:br/>
        <w:t>3 The transaction will take place in several stages. Initially, the company Newco, owned by more than 50% by the company Finadorm, will acquire 100% of the shares of the company CDL Holding. In a second step, the Le Hodey family and the company Merida, holders of 96% of the capital of the target before the transaction, will reinvest in the capital of Newco. This minority stake will not grant them any veto rights over the strategic decisions of Newco and therefore no control over Newco. Finally, the company Finadorm will acquire the stake held by the Le Hodey family and the company Merida no later than May 31, 2025.</w:t>
      </w:r>
    </w:p>
    <w:p>
      <w:r>
        <w:t xml:space="preserve">II. Delineation of Relevant Markets  </w:t>
        <w:br/>
        <w:t xml:space="preserve">A. PRODUCT MARKETS  </w:t>
        <w:br/>
        <w:t xml:space="preserve">6. In the retail sector, competition authorities generally recognize two categories of markets: upstream supply markets, which connect suppliers and retail companies, and downstream distribution markets, which connect retail companies and final consumers4.  </w:t>
        <w:br/>
        <w:t xml:space="preserve">7. In this case, the parties are simultaneously active in the upstream supply markets for bedding products as buyers (the acquirer is also active in this market as a seller) and in the downstream market for the distribution of bedding products.  </w:t>
        <w:br/>
        <w:t xml:space="preserve">1. UPSTREAM MARKETS FOR THE SUPPLY OF BEDDING PRODUCTS  </w:t>
        <w:br/>
        <w:t xml:space="preserve">8. National decision-making practice has recognized the existence of a market for the supply of bedding products5, which can be segmented between mattresses and box springs6.  </w:t>
        <w:br/>
        <w:t xml:space="preserve">9. In a recent decision concerning the furniture sector, the European Commission7 considered, while leaving the question open, that the market for the supply of furniture products could also be segmented according to the price range of the products (low-priced furniture, mid-range and high-priced furniture).  </w:t>
        <w:br/>
        <w:t xml:space="preserve">10. In this case, the question of the precise delineation of the supply markets for bedding products can be left open, as the conclusions of the competitive analysis remain unchanged, regardless of the assumption retained. The companies of the Finadorm group are present as both sellers and buyers in the upstream supply markets for high-end mattresses and box springs, while the target is only present as a buyer.  </w:t>
        <w:br/>
        <w:t xml:space="preserve">2. DOWNSTREAM MARKETS FOR THE DISTRIBUTION OF BEDDING PRODUCTS  </w:t>
        <w:br/>
        <w:t xml:space="preserve">11. The Competition Authority (hereinafter "the Authority") recently identified a market for the distribution of bedding products (mattresses and box springs) segmented according to price range8.  </w:t>
        <w:br/>
        <w:t xml:space="preserve">12. It also considered that online sales of bedding products exert significant competitive pressure on in-store sales and that these two distribution channels belong to the same market9.  </w:t>
        <w:br/>
        <w:t xml:space="preserve">4 See in particular the Authority's decision No. 22-DCC-78 regarding the takeover by Mobilux of Conforama's activities in France, point 7.  </w:t>
        <w:br/>
        <w:t xml:space="preserve">5 Decision No. 22-DCC-78 cited above and letters from the Minister of Economy, Finance and Industry C2006-118 of November 28, 2006, to the board of the company Cauval Industries, regarding a concentration in the sector of mattress and box spring manufacturing and dated September 13, 2001, to the boards of the companies Recticel and Pikolin regarding a concentration in the bedding sector.  </w:t>
        <w:br/>
        <w:t xml:space="preserve">6 Above-mentioned letters from the Minister of Economy, Finance and Industry.  </w:t>
        <w:br/>
        <w:t xml:space="preserve">7 Decision of the European Commission M.9609 Mann Mobilia / Tessner Holding / Tejo / Roller of November 30, 2020.  </w:t>
        <w:br/>
        <w:t xml:space="preserve">8 Decision No. 22-DCC-78 cited above.  </w:t>
        <w:br/>
        <w:t>9 Decision No. 22-DCC-78 cited above.</w:t>
      </w:r>
    </w:p>
    <w:p>
      <w:r>
        <w:t xml:space="preserve">13. It also noted that bedding products are distributed by different categories of actors. They are mainly offered by large specialized furniture stores (for example, Ikea or But), generalist brands (for example, Habitat or Maisons du Monde), and specialized brands (for example, concerning bedding, the brands of the parties France Literie and Compagnie du lit)10 which must be taken into account in the competitive analysis as long as they offer products in the same price range.  </w:t>
        <w:br/>
        <w:t xml:space="preserve">14. The investigation conducted in the context of the present case confirms these conclusions. The elements collected during the investigation from the parties and the operators questioned in the context of the market test further show that the parties have a positioning oriented towards the high-end market.  </w:t>
        <w:br/>
        <w:t xml:space="preserve">15. The competitive analysis will thus be conducted on the market for the distribution of high-end bedding products.  </w:t>
        <w:br/>
        <w:t xml:space="preserve">B. GEOGRAPHIC MARKETS  </w:t>
        <w:br/>
        <w:t xml:space="preserve">1. UPSTREAM MARKETS FOR THE SUPPLY OF BEDDING PRODUCTS  </w:t>
        <w:br/>
        <w:t xml:space="preserve">16. The Authority considers that the markets for the supply of bedding products have a national dimension due to national specificities concerning these products11.  </w:t>
        <w:br/>
        <w:t xml:space="preserve">17. In the context of this decision, there is no need to challenge this delineation. The competitive analysis will thus be conducted at the national level.  </w:t>
        <w:br/>
        <w:t xml:space="preserve">2. DOWNSTREAM MARKETS FOR THE DISTRIBUTION OF BEDDING PRODUCTS  </w:t>
        <w:br/>
        <w:t xml:space="preserve">18. Distribution markets generally undergo a dual analysis at both the national and local levels12.  </w:t>
        <w:br/>
        <w:t xml:space="preserve">a) National Level Analysis  </w:t>
        <w:br/>
        <w:t xml:space="preserve">19. Important parameters of competition can be assessed at the national level, particularly when prices are largely determined at this level by network heads leaving only a small margin of pricing maneuver for store managers. Similarly, certain non-price strategic decisions can be centralized, such as, for example, the structure of assortments, after-sales services, quality controls, advertising campaigns, customer loyalty policies (through, for example, loyalty cards), promotional actions or the launch of new products, or even the store location policy.  </w:t>
        <w:br/>
        <w:t xml:space="preserve">20. Under these conditions, the positions of the various actors at the national level as well as the characteristics of the relevant product markets must be taken into account in order to inform the analysis of the effects of the transaction on the relevant market.  </w:t>
        <w:br/>
        <w:t xml:space="preserve">10 See the Authority's decision No. 22-DCC-78 cited above.  </w:t>
        <w:br/>
        <w:t xml:space="preserve">11 See the Authority's decision No. 22-DCC-78 cited above.  </w:t>
        <w:br/>
        <w:t>12 See in particular the Authority's decision No. 22-DCC-78 cited above.</w:t>
      </w:r>
    </w:p>
    <w:p>
      <w:r>
        <w:rPr>
          <w:b/>
        </w:rPr>
        <w:t>[Pages 7–9]</w:t>
      </w:r>
    </w:p>
    <w:p>
      <w:r>
        <w:t xml:space="preserve">b) Local Analysis  </w:t>
        <w:br/>
        <w:t xml:space="preserve">21. The decision-making practice considers that the local dimension of distribution markets varies depending on the type of products concerned and the attractiveness of the stores.  </w:t>
        <w:br/>
        <w:t xml:space="preserve">22. Regarding the distribution of furniture products, the Authority recently estimated that consumers are willing to drive for 45 minutes to visit a store and compare products and prices from one brand to another13.  </w:t>
        <w:br/>
        <w:t xml:space="preserve">23. The elements collected during the investigation from the parties and the operators questioned in the context of the market test confirm that it is relevant to retain a catchment area of 45 minutes by car around the target points of sale.  </w:t>
        <w:br/>
        <w:t xml:space="preserve">24. The competitive analysis will thus be conducted both at the national level and in areas 45 minutes by car around the target points of sale, concerning the markets for the distribution of high-end bedding products.  </w:t>
        <w:br/>
        <w:t xml:space="preserve">III. Competitive Analysis  </w:t>
        <w:br/>
        <w:t xml:space="preserve">A. ANALYSIS OF THE COMMERCIAL AUTONOMY OF FRANCHISEES  </w:t>
        <w:br/>
        <w:t xml:space="preserve">25. It follows from the decision-making practice of the Authority14 and the jurisprudence of the Conseil d’État15 that the market power of a distributor is assessed by taking into account both the stores owned outright and those operated in a network, regardless of the legal status of the latter, as long as their commercial policy is not sufficiently autonomous from the head of the network.  </w:t>
        <w:br/>
        <w:t xml:space="preserve">26. Indeed, the commercial autonomy of members of a distribution network is assessed against several criteria established by the Authority and the Conseil d’État, including: (i) the possibility for the head of the network to set maximum prices for its members impacting their freedom to set their prices independently, (ii) the supply obligations of members to the group for a significant portion of their purchases,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head of the network, (vi) the prohibition on modifying a point of sale without the franchisor's authorization, or (vii) the more or less long duration of contracts.  </w:t>
        <w:br/>
        <w:t xml:space="preserve">27. In this case, concerning the acquirer, the Finadorm group has developed its bedding distribution activity through the "France Literie" network with 94 stores located in metropolitan France. The Finadorm group has entered into brand license concession contracts with its concessionaires. These contracts contain provisions that may restrict the commercial autonomy of the franchisees in that they require, for example, to "display and [...] offer for sale at least 80% of products referenced by the licensor within the network, including the own range of bedding designed and developed exclusively for the licensor."16. Furthermore, these contracts impose a minimum semi-annual turnover on the concessionaire17.  </w:t>
        <w:br/>
        <w:t xml:space="preserve">28. Regarding the target, the CDL group has also developed a network of [...] franchisees. The franchise contracts contain provisions that may restrict the commercial autonomy of these franchisees in that they require, for example, to "make at least [90-100]% of their purchases in the Annual Exclusive Collection offered by the Franchisor"18. Moreover, these contracts provide for a preemption clause in favor of the franchisor in the event that the franchised company has a project for total or partial transfer19.  </w:t>
        <w:br/>
        <w:t xml:space="preserve">29. Consequently, it follows from the above elements that the stores owned by the acquirer's concessionaires and by the target group's franchisees are not commercially autonomous from their head of network. These points of sale will therefore be taken into account to assess the market power of the new entity.  </w:t>
        <w:br/>
        <w:t xml:space="preserve">B. ANALYSIS OF HORIZONTAL EFFECTS  </w:t>
        <w:br/>
        <w:t xml:space="preserve">1. UPSTREAM MARKETS FOR THE SUPPLY OF BEDDING PRODUCTS  </w:t>
        <w:br/>
        <w:t xml:space="preserve">30. The parties are simultaneously active in the upstream markets for the supply of bedding products as buyers.  </w:t>
        <w:br/>
        <w:t xml:space="preserve">31. In these markets, the party estimates that the combined market share of the new entity will remain well below 25%, regardless of the segmentation considered20.  </w:t>
        <w:br/>
        <w:t xml:space="preserve">32. Therefore, any risk of harm to competition through the creation or strengthening of the purchasing power of the new entity in the upstream markets for the supply of bedding products can be ruled out.  </w:t>
        <w:br/>
        <w:t xml:space="preserve">2. DOWNSTREAM MARKETS FOR THE DISTRIBUTION OF BEDDING PRODUCTS  </w:t>
        <w:br/>
        <w:t xml:space="preserve">a) Inclusion of Online Sales  </w:t>
        <w:br/>
        <w:t xml:space="preserve">33. As indicated in the aforementioned decision n° 22-DCC-78, online sales of furniture products exert real competitive pressure on sales in physical stores and thus belong to the same market.  </w:t>
        <w:br/>
        <w:t xml:space="preserve">34. Regarding the level of online sales of furniture products by online-only players, this same decision held that they could represent a share of up to 10% of sales in each category of furniture in the next two to three years22. The investigation confirmed the relevance of such a penetration rate concerning high-end bedding products.  </w:t>
        <w:br/>
        <w:t xml:space="preserve">35. Regarding the level of online sales retained for players with physical points of sale distributing high-end bedding products, the market test results show that on average, they achieve 5% of their sales online.  </w:t>
        <w:br/>
        <w:t xml:space="preserve">36. Consequently, online sales represent 15% of high-end bedding product sales in France. This level is divided between those made by online-only players, estimated at 10%, and those made by brands with physical points of sale, estimated at 5%.  </w:t>
        <w:br/>
        <w:t xml:space="preserve">37. Market shares in the downstream market for the distribution of bedding products have been calculated in accordance with the methodology described in paragraph 841 of the Authority's guidelines on merger control concerning the inclusion of online sales at the local level: "When the Authority considers that in-store sales and online sales belong to the same market, the market shares of operators with stores making online sales are calculated by taking into account both in-store sales and internet sales. In the context of the three previous cases mentioned, the Authority attributed to each operator making online sales an online sales turnover in proportion to its market shares in online sales at the national level, including for players specialized in online sales. This methodology is based on the assumption that the competitive pressure exerted by online sales is homogeneous across all relevant catchment areas."  </w:t>
        <w:br/>
        <w:t xml:space="preserve">b) Analysis of Horizontal Effects  </w:t>
        <w:br/>
        <w:t xml:space="preserve">National Analysis  </w:t>
        <w:br/>
        <w:t xml:space="preserve">38. In the downstream market for the distribution of high-end bedding products, the market share of the new entity following the transaction will be [20-30]% ([10-20]% for Compagnie du lit and [10-20]% for France Literie).  </w:t>
        <w:br/>
        <w:t xml:space="preserve">39. The new entity will face competition from other national players such as Maison de la Literie and Grand Litier, whose respective market shares are [30-40]% and [20-30]%.  </w:t>
        <w:br/>
        <w:t xml:space="preserve">40. Consequently, the transaction is not likely to harm competition in the national market for the distribution of high-end bedding products.  </w:t>
        <w:br/>
        <w:t xml:space="preserve">Local Area Analysis  </w:t>
        <w:br/>
        <w:t xml:space="preserve">41. The transaction results in overlaps between the activities of the parties in 82 areas.  </w:t>
        <w:br/>
        <w:t>42. To assess whether a concentration operation between two distributors is likely to significantly reduce competition in a local market, the Authority's guidelines indicate that two criteria may be examined: (i) the market shares of the new entity and (ii) the degree of market concentration23. These two criteria are assessed on a case-by-case basis by the Authority depending on the characteristics and competitive structure of the analyzed markets.</w:t>
      </w:r>
    </w:p>
    <w:p>
      <w:r>
        <w:rPr>
          <w:b/>
        </w:rPr>
        <w:t>[Pages 10–12]</w:t>
      </w:r>
    </w:p>
    <w:p>
      <w:r>
        <w:t>43. The decision-making practice regarding distribution generally retains, in accordance with the Authority's guidelines24, a threshold of 25% cumulative market shares below which the absence of competition issues can be presumed. When the market share is between 25% and 50%, the Authority conducts an analysis of the local competitive structure. Beyond 50% cumulative market shares, the Authority presumes the existence of market power and excludes a competition issue in the presence of credible and sufficient alternatives to the new entity in the concerned area25.</w:t>
      </w:r>
    </w:p>
    <w:p>
      <w:r>
        <w:t>44. In the absence of sufficiently precise data regarding online sales made by its competitors, the notifying party initially submitted the market shares of the parties in a market limited to sales in physical stores, taking into account only national operators.</w:t>
      </w:r>
    </w:p>
    <w:p>
      <w:r>
        <w:t>45. It follows that, in nine areas, the market share of the new entity will be below 25% following the transaction, which allows for the dismissal of any risk of harm to competition.</w:t>
      </w:r>
    </w:p>
    <w:p>
      <w:r>
        <w:t>46. Furthermore, in 64 areas, the market share of the new entity will be between 25% and 50% following the transaction. In each of these areas, the new entity will face competition from at least two close national high-end competitors26, which also allows for the dismissal of any risk of harm to competition.</w:t>
      </w:r>
    </w:p>
    <w:p>
      <w:r>
        <w:t>47. Finally, in nine areas, namely the areas of Barentin (76), Chelles (77), Cherbourg-Octeville (50), La Chapelle-Saint-Aubin (72), La Mézière (35), Pornic (44), Puilboreau (17), Saint-Lô (50), and Vitré (35), the market share of the new entity will exceed 50% in a market limited to sales in physical stores. However, for all these areas, the market shares were recalculated by incorporating, on the one hand, online sales, and on the other hand, competitors all dependent on national operators. Following this reprocessing, it appears that in seven areas, the market share of the new entity will be below 50% and that it will face competitive pressure from at least two close national competitors, which allows for the dismissal of any risk of harm to competition.</w:t>
      </w:r>
    </w:p>
    <w:p>
      <w:r>
        <w:t>48. The market share of the new entity will, however, remain above 50% in two areas: that of Cherbourg-Octeville (50) and that of Saint-Lô (50).</w:t>
      </w:r>
    </w:p>
    <w:p>
      <w:r>
        <w:t>49. In the area of Saint-Lô (50), the market share of the new entity will be [60-70]% with an increment of [20-30] points. The new entity will, however, face competition from two national high-end competitors, under the brands "Mobilier de France" and "Grand Litier," the latter being specialized in the distribution of high-end bedding products, holding market shares of [10-20]% and [20-30]% respectively. Thus, there will remain in this area two credible competitors offering a genuine alternative to that of the new entity.</w:t>
      </w:r>
    </w:p>
    <w:p>
      <w:r>
        <w:t>50. The transaction is therefore not likely to harm competition in the area of Saint-Lô.</w:t>
      </w:r>
    </w:p>
    <w:p>
      <w:r>
        <w:t>51. In the area of Cherbourg-Octeville (50), the market share of the new entity will be [90-100]% with an increment of [40-50] points, the parties being the only two national operators present in the area. It emerges from the investigation that there is a local operator in this area offering products similar to those sold by the parties, under the brand "Gimaflex." However, the inclusion of this operator only allows for a very limited reduction in the market shares of the new entity (from [90-100]% to [80-90]%).</w:t>
      </w:r>
    </w:p>
    <w:p>
      <w:r>
        <w:t>52. Due to its very strong position in the area and the absence of any other sufficient offer in the area, the new entity could degrade the conditions of its offer in the area of Cherbourg-Octeville.</w:t>
      </w:r>
    </w:p>
    <w:p>
      <w:r>
        <w:t>53. Considering all these elements, the transaction is likely to harm competition in the area of Cherbourg-Octeville.</w:t>
      </w:r>
    </w:p>
    <w:p>
      <w:r>
        <w:t>54. In order to remedy the identified anticompetitive risk, the notifying party has submitted commitments, analyzed in Section IV of this decision.</w:t>
      </w:r>
    </w:p>
    <w:p>
      <w:r>
        <w:t>C. ANALYSIS OF VERTICAL EFFECTS</w:t>
      </w:r>
    </w:p>
    <w:p>
      <w:r>
        <w:t>55.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56. However, decision-making practice generally considers that a risk of vertical effect can be dismissed as long as the market share of the company resulting from the transaction in the concerned markets does not exceed 30%27.</w:t>
      </w:r>
    </w:p>
    <w:p>
      <w:r>
        <w:t>57. In this case, the acquirer, via France Literie, is active, as a supplier, in the markets for the supply of bedding products that are upstream of the market for the distribution of bedding products on which the parties are simultaneously active.</w:t>
      </w:r>
    </w:p>
    <w:p>
      <w:r>
        <w:t>58. Upstream, the acquirer could decide to no longer supply bedding products to competitors of the new entity (input lock-in). Downstream, the new entity could decide to no longer address, post-transaction, the competitors of Finadorm for its purchases of bedding products (customer lock-in).</w:t>
      </w:r>
    </w:p>
    <w:p>
      <w:r>
        <w:t>59. However, without the need to further examine the capacity and incentives of the parties to implement such lock-in strategies, any risk of harm to competition through vertical effects can be dismissed, insofar as, according to the notifying party's estimates, the market shares of Finadorm do not exceed 5% regardless of the segmentation retained in the upstream markets for the supply of bedding products in France and where the market shares of the new entity are below 30% in the downstream market for the distribution of high-end bedding products at the national level.</w:t>
      </w:r>
    </w:p>
    <w:p>
      <w:r>
        <w:t>27 Authority guidelines on the control of concentrations, point 678.</w:t>
      </w:r>
    </w:p>
    <w:p>
      <w:r>
        <w:t>IV. Commitments</w:t>
      </w:r>
    </w:p>
    <w:p>
      <w:r>
        <w:t>60. In order to remedy the identified risk of harm to competition in the market for the distribution of high-end bedding products in the area of Cherbourg-Octeville (50), the notifying party has submitted a proposal for commitments, the text of which, attached in the annex, forms an integral part of this decision.</w:t>
      </w:r>
    </w:p>
    <w:p>
      <w:r>
        <w:t>A. PROPOSED COMMITMENTS</w:t>
      </w:r>
    </w:p>
    <w:p>
      <w:r>
        <w:t>61. The first version of the proposal for commitments, dated July 7, 2022, was the subject of discussions with the investigation services of the Authority and resulted in modifications. The final version of these commitments, presented below, was submitted on August 4, 2022.</w:t>
      </w:r>
    </w:p>
    <w:p>
      <w:r>
        <w:t>62. In order to address the competition concerns identified in Cherbourg-Octeville (50), the Finadorm group has committed to sell to a buyer the business under the brand "La Compagnie du Lit" held by the company Sodipram, or to terminate the brand licensing agreement concluded by France Literie with the company Infiny Home, operating under the brand "France Literie." In the event of the termination of the brand licensing agreement, Finadorm also commits to seek, for the initial operating company, an actor likely to conclude a new franchise agreement with the initial operating company and active in the sector of high-end bedding product distribution.</w:t>
      </w:r>
    </w:p>
    <w:p>
      <w:r>
        <w:t>63. For a period of […] years, the Finadorm group commits not to acquire the sold store, nor to acquire direct or indirect influence over it, and not to conclude a new brand licensing agreement operating under the brand "France Literie" in the area of Cherbourg-Octeville (50).</w:t>
      </w:r>
    </w:p>
    <w:p>
      <w:r>
        <w:t>64. The acquirer or contractor must be legally and commercially independent of the notifying party and have no capital link, direct or indirect, with it. It must possess the financial resources and skills to preserve and develop the viability of the divested activity to stimulate competition in the concerned markets.</w:t>
      </w:r>
    </w:p>
    <w:p>
      <w:r>
        <w:t>65. Finally, Finadorm commits to appoint an independent representative whose mission will be to ensure the proper execution by Finadorm of all its obligations, particularly regarding the conditions of the divestiture process and the search for alternative franchisor networks, and the maintenance of the viability of the divested assets.</w:t>
      </w:r>
    </w:p>
    <w:p>
      <w:r>
        <w:t>B. ASSESSMENT OF THE PROPOSED COMMITMENTS</w:t>
      </w:r>
    </w:p>
    <w:p>
      <w:r>
        <w:t>1. ON THE PRINCIPLES GUIDING THE ASSESSMENT OF THE PROPOSED COMMITMENTS</w:t>
      </w:r>
    </w:p>
    <w:p>
      <w:r>
        <w:t>66. Regarding a horizontal concentration, the Authority primarily seeks structural corrective measures, which aim to ensure competitive market structures by...</w:t>
      </w:r>
    </w:p>
    <w:p>
      <w:r>
        <w:rPr>
          <w:b/>
        </w:rPr>
        <w:t>[Pages 13–15]</w:t>
      </w:r>
    </w:p>
    <w:p>
      <w:r>
        <w:t xml:space="preserve">APPRAISAL OF THE PROPOSED COMMITMENTS  </w:t>
        <w:br/>
        <w:t xml:space="preserve">1. ON THE PRINCIPLES GUIDING THE APPRAISAL OF THE PROPOSED COMMITMENTS  </w:t>
        <w:br/>
        <w:t xml:space="preserve">66. In the case of a horizontal concentration, the Authority primarily seeks structural corrective measures, which aim to ensure competitive market structures through divestitures to an appropriate acquirer capable of exerting real competition, or the elimination of capital links between competitors28.  </w:t>
        <w:br/>
        <w:t xml:space="preserve">67. The Authority ensures that these commitments meet several criteria:  </w:t>
        <w:br/>
        <w:t xml:space="preserve">- they must be effective, meaning they must effectively remedy the identified competition concerns;  </w:t>
        <w:br/>
        <w:t xml:space="preserve">- their implementation must not raise doubts, which implies that they should be drafted precisely, without ambiguity, and that the operational modalities for their realization should be sufficiently detailed;  </w:t>
        <w:br/>
        <w:t xml:space="preserve">- their implementation must be swift, as competition is not preserved until they are realized;  </w:t>
        <w:br/>
        <w:t xml:space="preserve">- they must be controllable29.  </w:t>
        <w:br/>
        <w:t xml:space="preserve">68. In this case, the proposed commitments aim to eliminate any overlap in activities in the area where a risk of harm to competition has been identified.  </w:t>
        <w:br/>
        <w:t xml:space="preserve">69. Furthermore, the effectiveness of the remedies depends on the divestiture of the relevant assets to an appropriate acquirer. To restore sufficient competitive conditions, the acquirer must be capable of effectively competing with the new entity in the relevant markets.  </w:t>
        <w:br/>
        <w:t xml:space="preserve">70. This implies that the acquirer must present all guarantees of viability and independence, both legal and commercial, with respect to Finadorm. Therefore, it must be a player in the distribution of high-end bedding products, both independent of the Finadorm group and of the company Sodipram, and capable of ensuring the sustainable operation of the divested assets.  </w:t>
        <w:br/>
        <w:t xml:space="preserve">71. Finally, the acquisition of the relevant asset must not be likely to create new harms to competition in the concerned area, by strengthening the position of the only already established competitor.  </w:t>
        <w:br/>
        <w:t xml:space="preserve">2. ON THE APPROPRIATENESS OF THE PROPOSED COMMITMENTS  </w:t>
        <w:br/>
        <w:t xml:space="preserve">72. The commitments proposed by the notifying party consist either of the divestiture of the business under the brand "Compagnie du Lit," or the termination of the brand licensing agreement concluded by France Literie in the catchment area of Cherbourg-Octeville (50).  </w:t>
        <w:br/>
        <w:t xml:space="preserve">73. The points of sale concerned by the commitments are as follows:  </w:t>
        <w:br/>
        <w:t xml:space="preserve">Brand Nature of the commitment Address of the point of sale  </w:t>
        <w:br/>
        <w:t xml:space="preserve">La Compagnie Divestiture of the business 6 Avenue Amiral Lemonnier  </w:t>
        <w:br/>
        <w:t xml:space="preserve">du Lit 50100 Cherbourg-en-Cotentin  </w:t>
        <w:br/>
        <w:t xml:space="preserve">Termination of the brand licensing  </w:t>
        <w:br/>
        <w:t xml:space="preserve">France Literie agreement La Banque à Genêts  </w:t>
        <w:br/>
        <w:t xml:space="preserve">50470 La Glacerie Cherbourg-en-Cotentin  </w:t>
        <w:br/>
        <w:t xml:space="preserve">28 Guidelines of the Competition Authority regarding the control of concentrations, point 414.  </w:t>
        <w:br/>
        <w:t xml:space="preserve">29 Guidelines of the Competition Authority regarding the control of concentrations, point 354.  </w:t>
        <w:br/>
        <w:t xml:space="preserve">74. In principle, such commitments are adequate, as they release the relevant assets from any link with the new entity, allowing competing brands either to acquire the business under the brand "Compagnie du Lit," or to enter into a distribution agreement for the products of the brand France Literie. This divestiture or termination of the brand licensing agreement must, in any case, occur within a sufficiently rapid timeframe to restore sufficient competition in the relevant market. This is the case here, as the notifying party commits to the divestiture of the relevant asset or to the termination of the brand licensing agreement within a period of twelve months.  </w:t>
        <w:br/>
        <w:t xml:space="preserve">75. Thus, in the area of Cherbourg-Octeville (50), the commitments will eliminate the overlap in activities between the parties.  </w:t>
        <w:br/>
        <w:t xml:space="preserve">76. Regarding the implementation of the commitments, Finadorm will propose to the Authority the appointment of a representative, referred to as the "monitoring representative," who will be responsible for ensuring compliance with the obligations resulting from this decision.  </w:t>
        <w:br/>
        <w:t xml:space="preserve">77. He will notably ensure the preservation of the economic viability, market value, and competitiveness of the stores to be divested. He will also examine and evaluate potential acquirers as well as the progress of the commitments.  </w:t>
        <w:br/>
        <w:t xml:space="preserve">78. Furthermore, if Finadorm does not find a buyer within a period of […] months, a representative, referred to as the "divestiture representative" (who may, if necessary, be the monitoring representative) will be tasked with finding one and negotiating with them, on behalf of the Finadorm group, the terms of the divestiture of the relevant asset or the signing of a new franchise agreement, which reinforces the credibility of the commitments made by the notifying party.  </w:t>
        <w:br/>
        <w:t xml:space="preserve">79. Consequently, the Authority considers that the commitments proposed by the notifying party are sufficient to eliminate the harms to competition resulting from the operation.  </w:t>
        <w:br/>
        <w:t>14</w:t>
      </w:r>
    </w:p>
    <w:p>
      <w:r>
        <w:t xml:space="preserve">DECISION  </w:t>
        <w:br/>
        <w:t xml:space="preserve">Sole Article: The operation notified under number 21-307 is authorized subject to the commitments described in paragraphs 60 to 79 above and annexed to this decision.  </w:t>
        <w:br/>
        <w:t xml:space="preserve">The Vice-President,  </w:t>
        <w:br/>
        <w:t xml:space="preserve">Fabienne Siredey-Garnier  </w:t>
        <w:br/>
        <w:t xml:space="preserve">© Competition Authority  </w:t>
        <w:br/>
        <w: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