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https://www.autoritedelaconcurrence.fr/fr/decision-de-controle-des-concentrations/relative-la-prise-de-controle-exclusif-de-la-societe-ced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23-DCC-34 of February 16, 2023</w:t>
        <w:br/>
        <w:t>regarding the exclusive control acquisition of CED Group by</w:t>
        <w:br/>
        <w:t>Rivean Capital</w:t>
        <w:br/>
        <w:t>The Competition Authority,</w:t>
        <w:br/>
        <w:t>Having regard to the complete notification file submitted to the mergers department on January 31, 2023,</w:t>
        <w:br/>
        <w:t>concerning the exclusive control acquisition of CED Group by Rivean Capital,</w:t>
        <w:br/>
        <w:t>formalized by a share transfer and purchase agreement dated December 19, 2022;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transaction consists of the exclusive control acquisition by Rivean Capital, through</w:t>
        <w:br/>
        <w:t>the Gilde Fund VI 2 CV and Gilde Buy-Out Fund VI CV, of CED Group and its subsidiaries, active in the insurance expertise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notified operation under number 23-004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