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https://www.autoritedelaconcurrence.fr/fr/decision-de-controle-des-concentrations/relative-la-prise-de-controle-exclusif-de-la-societe-ceflo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18-DCC-11 of January 12, 2018  </w:t>
        <w:br/>
        <w:t xml:space="preserve">regarding the exclusive control acquisition of the company CEFLO by the  </w:t>
        <w:br/>
        <w:t>company But International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December 21, 2017, concerning the exclusive control acquisition of the company CEFLO and its subsidiaries  </w:t>
        <w:br/>
        <w:t xml:space="preserve">by the company BUT International, formalized by a transfer contract dated  </w:t>
        <w:br/>
        <w:t>December 20, 2017;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acquisition by the company BUT International of exclusive control  </w:t>
        <w:br/>
        <w:t xml:space="preserve">of the company Ceflo, which operates two retail outlets under the But brand, located  </w:t>
        <w:br/>
        <w:t xml:space="preserve">in the cities of Pau (64) and Tarbes (65). This operation constitutes a concentration operation within the meaning of Article L. 430-1 of the Commercial Code. Given the turnover generated by the companies concerned, the operation does not fall under the jurisdiction of  </w:t>
        <w:br/>
        <w:t xml:space="preserve">the European Union. On the other hand, the control thresholds related to retail trade  </w:t>
        <w:br/>
        <w:t xml:space="preserve">mentioned in point II of Article L. 430-2 of the Commercial Code are exceeded. The present  </w:t>
        <w:br/>
        <w:t xml:space="preserve">operation is therefore subject to the provisions of Articles L. 430-3 and following of the Commercial Code  </w:t>
        <w:br/>
        <w:t>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17-140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