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https://www.autoritedelaconcurrence.fr/fr/decision-de-controle-des-concentrations/relative-la-prise-de-controle-exclusif-de-la-societe-cenpac</w:t>
      </w:r>
    </w:p>
    <w:p>
      <w:r>
        <w:t>Pages translated : 6</w:t>
      </w:r>
    </w:p>
    <w:p/>
    <w:p>
      <w:r>
        <w:rPr>
          <w:b/>
        </w:rPr>
        <w:t>[Pages 1–3]</w:t>
      </w:r>
    </w:p>
    <w:p>
      <w:r>
        <w:t xml:space="preserve">FRENCH REPUBLIC  </w:t>
        <w:br/>
        <w:t xml:space="preserve">Decision No. 10-DCC-68 of July 9, 2010  </w:t>
        <w:br/>
        <w:t xml:space="preserve">regarding the exclusive control  </w:t>
        <w:br/>
        <w:t xml:space="preserve">of the company Cenpac by the Raja group  </w:t>
        <w:br/>
        <w:t xml:space="preserve">The Competition Authority,  </w:t>
        <w:br/>
        <w:t xml:space="preserve">Having regard to the notification file submitted in full to the merger service on June 9, 2010,  </w:t>
        <w:br/>
        <w:t xml:space="preserve">regarding the exclusive control of the company Cenpac by the Raja group, formalized by  </w:t>
        <w:br/>
        <w:t xml:space="preserve">a letter of commitment for the acquisition of all the shares of the company Cenpac by the  </w:t>
        <w:br/>
        <w:t xml:space="preserve">Raja group, dated May 25, 2010;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Raja is a public limited company whose capital is distributed among the company KCF  </w:t>
        <w:br/>
        <w:t xml:space="preserve">(74.1%), Danièle Kapel-Marcovici (19.1%) and three other individuals (6.8%), the  </w:t>
        <w:br/>
        <w:t xml:space="preserve">capital of the company KCF being itself held by Danièle Kapel-Marcovici (88%) and three  </w:t>
        <w:br/>
        <w:t xml:space="preserve">other individuals (12%). These two companies and their subsidiaries constitute the  </w:t>
        <w:br/>
        <w:t xml:space="preserve">Raja group and are exclusively controlled by Mrs. Kapel-Marcovici. The Raja group is  </w:t>
        <w:br/>
        <w:t xml:space="preserve">active in Europe in the distribution sector of supplies and packaging equipment for  </w:t>
        <w:br/>
        <w:t xml:space="preserve">shipping, sealing, cushioning, protection, and palletizing as well as products and  </w:t>
        <w:br/>
        <w:t xml:space="preserve">equipment for the office, handling and storage, maintenance and hygiene, intended for  </w:t>
        <w:br/>
        <w:t xml:space="preserve">a professional clientele in all sectors of activity. The total worldwide turnover excluding  </w:t>
        <w:br/>
        <w:t xml:space="preserve">taxes of the Raja group amounted, for the last fiscal year closed on December 31, 2009,  </w:t>
        <w:br/>
        <w:t xml:space="preserve">to 224 million euros, of which [&gt;50] million euros were generated in France.  </w:t>
        <w:br/>
        <w:t xml:space="preserve">2. The company Cenpac, a simplified joint-stock company, is primarily active in the  </w:t>
        <w:br/>
        <w:t xml:space="preserve">distribution sector of supplies and packaging equipment for shipping, sealing,  </w:t>
        <w:br/>
        <w:t xml:space="preserve">cushioning, protection, and palletizing intended for a professional clientele in all  </w:t>
        <w:br/>
        <w:t xml:space="preserve">sectors of activity. It achieved, in the last fiscal year closed on December 31, 2009, a  </w:t>
        <w:br/>
        <w:t xml:space="preserve">total worldwide turnover excluding taxes of 121 million euros, of which 119 million euros  </w:t>
        <w:br/>
        <w:t xml:space="preserve">were generated in France.  </w:t>
        <w:br/>
        <w:t xml:space="preserve">3. The transaction, formalized by a letter of commitment dated May 25, 2010, concerns  </w:t>
        <w:br/>
        <w:t xml:space="preserve">the acquisition by the company Raja of all the shares of the company Cenpac, currently  </w:t>
        <w:br/>
        <w:t xml:space="preserve">held by the Gascogne group.  </w:t>
        <w:br/>
        <w:t xml:space="preserve">4. Insofar as it results in the acquisition of exclusive control of the company Cenpac by the  </w:t>
        <w:br/>
        <w:t xml:space="preserve">Raja Group, the notified transaction is a concentration operation within the meaning of  </w:t>
        <w:br/>
        <w:t xml:space="preserve">Article L. 430-1 of the Commercial Code. Given the turnover of the companies concerned, it is  </w:t>
        <w:br/>
        <w:t xml:space="preserve">not of community dimension. However, the notification thresholds provided for in point I of  </w:t>
        <w:br/>
        <w:t xml:space="preserve">Article L. 430-2 of the Commercial Code are exceeded. This operation is therefore subject  </w:t>
        <w:br/>
        <w:t xml:space="preserve">to the provisions of Articles L. 430-3 and following of the Commercial Code relating to  </w:t>
        <w:br/>
        <w:t xml:space="preserve">economic concentration.  </w:t>
        <w:br/>
        <w:t xml:space="preserve">II. Delimitation of relevant markets  </w:t>
        <w:br/>
        <w:t xml:space="preserve">5. The parties to the concentration are simultaneously active in the sector of distribution of  </w:t>
        <w:br/>
        <w:t xml:space="preserve">packaging products to businesses, that is to say in the purchase, from French or foreign  </w:t>
        <w:br/>
        <w:t xml:space="preserve">producers, of various packaging products (cardboard and wooden boxes, plastic bags and  </w:t>
        <w:br/>
        <w:t xml:space="preserve">sachets, plastic and aluminum trays, plastic films, food papers, etc.), resold to  </w:t>
        <w:br/>
        <w:t xml:space="preserve">businesses and professionals. In addition to this main activity, the parties also engage in  </w:t>
        <w:br/>
        <w:t xml:space="preserve">the trade of supplies and equipment meeting various professional needs, notably handling  </w:t>
        <w:br/>
        <w:t xml:space="preserve">and storage products (storage and organization bins, shelving, handling equipment such  </w:t>
        <w:br/>
        <w:t xml:space="preserve">as carts, pallet trucks), maintenance and hygiene products (containers and garbage bags,  </w:t>
        <w:br/>
        <w:t xml:space="preserve">cleaning products) and office supplies (envelopes, notebooks, staplers, paper cutters,  </w:t>
        <w:br/>
        <w:t xml:space="preserve">cartridges, etc.).  </w:t>
        <w:br/>
        <w:t xml:space="preserve">A. PRODUCT MARKETS  </w:t>
        <w:br/>
        <w:t xml:space="preserve">6. In the various sectors of activity described above, the parties are both present upstream, as  </w:t>
        <w:br/>
        <w:t xml:space="preserve">buyers from several manufacturers for different categories of products, and downstream, in  </w:t>
        <w:br/>
        <w:t xml:space="preserve">the market for the distribution of these products to a very large number of businesses of all  </w:t>
        <w:br/>
        <w:t>sizes and sectors.</w:t>
      </w:r>
    </w:p>
    <w:p>
      <w:r>
        <w:t xml:space="preserve">1. UPSTREAM, SUPPLY MARKETS  </w:t>
        <w:br/>
        <w:t xml:space="preserve">7. In terms of distribution, national decision-making practice considers that it is necessary  </w:t>
        <w:br/>
        <w:t xml:space="preserve">to distinguish as many markets as there are product families, insofar as producers cannot  </w:t>
        <w:br/>
        <w:t xml:space="preserve">easily switch to manufacturing products other than their own, and where the structure of  </w:t>
        <w:br/>
        <w:t xml:space="preserve">supply, pricing dynamics, or manufacturing constraints can vary significantly from one  </w:t>
        <w:br/>
        <w:t xml:space="preserve">product family to another.  </w:t>
        <w:br/>
        <w:t xml:space="preserve">8. In the case at hand, the different products distributed by the parties belong to the following families:  </w:t>
        <w:br/>
        <w:t xml:space="preserve">- packaging boxes  </w:t>
        <w:br/>
        <w:t xml:space="preserve">- films and accessories for palletization and identification  </w:t>
        <w:br/>
        <w:t xml:space="preserve">- adhesives and strapping  </w:t>
        <w:br/>
        <w:t xml:space="preserve">- cushioning and protection  </w:t>
        <w:br/>
        <w:t xml:space="preserve">- industrial packaging  </w:t>
        <w:br/>
        <w:t xml:space="preserve">- packaging products for food retail  </w:t>
        <w:br/>
        <w:t xml:space="preserve">- packaging products for shops and boutiques  </w:t>
        <w:br/>
        <w:t xml:space="preserve">- handling and storage  </w:t>
        <w:br/>
        <w:t xml:space="preserve">- maintenance and hygiene  </w:t>
        <w:br/>
        <w:t xml:space="preserve">- office supplies  </w:t>
        <w:br/>
        <w:t xml:space="preserve">9. However, it is not necessary to precisely segment these different markets insofar as,  </w:t>
        <w:br/>
        <w:t xml:space="preserve">regardless of the delineation of the product families retained, the conclusions of the  </w:t>
        <w:br/>
        <w:t xml:space="preserve">competitive analysis will remain unchanged.  </w:t>
        <w:br/>
        <w:t xml:space="preserve">2. DOWNSTREAM, DISTRIBUTION MARKETS  </w:t>
        <w:br/>
        <w:t xml:space="preserve">10. In terms of distribution of equipment products intended for professionals, national  </w:t>
        <w:br/>
        <w:t xml:space="preserve">decision-making practice tends to segment the sector into as many markets as there are  </w:t>
        <w:br/>
        <w:t xml:space="preserve">product families.  </w:t>
        <w:br/>
        <w:t xml:space="preserve">11. The parties have retained the product families listed in paragraph 8, subsequently  </w:t>
        <w:br/>
        <w:t xml:space="preserve">segmenting them into several subcategories. They ultimately identified 35 segments, on  </w:t>
        <w:br/>
        <w:t xml:space="preserve">each of which they presented their market shares.  </w:t>
        <w:br/>
        <w:t xml:space="preserve">12. Furthermore, regarding the specific segment of office supply distribution, a potential  </w:t>
        <w:br/>
        <w:t xml:space="preserve">segmentation by distribution channels, distance selling or in-store selling, was considered.  </w:t>
        <w:br/>
        <w:t xml:space="preserve">Similarly, the question of a potential distinction between public clientele and private clientele,  </w:t>
        <w:br/>
        <w:t xml:space="preserve">particularly given the specificity of tenders in the former sector, had been raised. The parties  </w:t>
        <w:br/>
        <w:t>generate almost all of their turnover from private sector professionals ([…] % for Raja and […] % for Cenpac).</w:t>
      </w:r>
    </w:p>
    <w:p>
      <w:r>
        <w:rPr>
          <w:b/>
        </w:rPr>
        <w:t>[Pages 4–6]</w:t>
      </w:r>
    </w:p>
    <w:p>
      <w:r>
        <w:t>and do not have stores, sales being conducted by telephone, internet, or through the presence of sales representatives in the field.</w:t>
      </w:r>
    </w:p>
    <w:p>
      <w:r>
        <w:t>13. In any event, in the absence of any competitive problem, the question of the precise delineation of downstream markets can be left open.</w:t>
      </w:r>
    </w:p>
    <w:p>
      <w:r>
        <w:t>B. GEOGRAPHIC MARKETS</w:t>
      </w:r>
    </w:p>
    <w:p>
      <w:r>
        <w:t>14. Decision-making practice has considered that the different supply markets are of national scope.</w:t>
      </w:r>
    </w:p>
    <w:p>
      <w:r>
        <w:t>15. Similarly, regarding the distribution of various products (office supplies, hygiene products, handling equipment, etc.) intended for professionals, decision-making practice has, in previous decisions, adopted a national delineation, particularly considering notable cultural differences existing in the conception of catalogs (languages and presentation), consumer habits, as well as the organization of the distribution system.</w:t>
      </w:r>
    </w:p>
    <w:p>
      <w:r>
        <w:t>16. In the case at hand, regarding both upstream and downstream markets, the analysis will be conducted at the national level. In any event, it is not necessary to precisely delineate the geographic scope of the markets concerned, as, regardless of the delineation adopted, the conclusions of the competitive analysis will remain unchanged.</w:t>
      </w:r>
    </w:p>
    <w:p>
      <w:r>
        <w:t>III. COMPETITIVE ANALYSIS</w:t>
      </w:r>
    </w:p>
    <w:p>
      <w:r>
        <w:t>17. The analyses below are based on market share estimates provided by the notifying party, estimates established, in particular, from the Xerfi study conducted on the packaging trade sector, and supplemented by other information collected from various sources, such as certain professional associations (Ondef data for the cardboard boxes market, Ufipa data for the office supplies market) or certain manufacturers.</w:t>
      </w:r>
    </w:p>
    <w:p>
      <w:r>
        <w:t>A. UPSTREAM MARKETS</w:t>
      </w:r>
    </w:p>
    <w:p>
      <w:r>
        <w:t>18. Across all ten product families considered, the parties to the concentration present cumulative market shares of less than 1% for six product families, market shares between [0-5]% for three product families, and market shares of [5-10]% for the last product family (for cushioning and protection).</w:t>
      </w:r>
    </w:p>
    <w:p>
      <w:r>
        <w:t>19. Furthermore, the parties specify that, in the supply markets, there are numerous producers and distributors. Therefore, the contemplated operation is not likely to significantly strengthen the purchasing power of the parties or place their suppliers in a situation of economic dependence.</w:t>
      </w:r>
    </w:p>
    <w:p>
      <w:r>
        <w:t>B. DOWNSTREAM MARKETS</w:t>
      </w:r>
    </w:p>
    <w:p>
      <w:r>
        <w:t>20. Across all ten product families considered, the parties to the concentration present the following cumulative market shares:</w:t>
        <w:br/>
        <w:t>market shares Market shares Market shares</w:t>
        <w:br/>
        <w:t>product families</w:t>
        <w:br/>
        <w:t>Raja Cenpac cumulative</w:t>
        <w:br/>
        <w:t>packaging boxes [10-20]% [5-10]% [10-20]%</w:t>
        <w:br/>
        <w:t>films and accessories for palletization</w:t>
        <w:br/>
        <w:t>[0-5]% [0-5]% [5-10]%</w:t>
        <w:br/>
        <w:t>and identification</w:t>
        <w:br/>
        <w:t>adhesives and strapping [0-5]% [0-5]% [0-5]%</w:t>
        <w:br/>
        <w:t>cushioning and protection [5-10]% [5-10]% [10-20]%</w:t>
        <w:br/>
        <w:t>industrial packaging [5-10]% [5-10]% [10-20]%</w:t>
        <w:br/>
        <w:t>packaging products for the</w:t>
        <w:br/>
        <w:t>[0-5]% [0-5]% [0-5]%</w:t>
        <w:br/>
        <w:t>food retail trade</w:t>
        <w:br/>
        <w:t>packaging products for</w:t>
        <w:br/>
        <w:t>[0-5]% [0-5]% [5-10]%</w:t>
        <w:br/>
        <w:t>stores and shops</w:t>
        <w:br/>
        <w:t>handling and storage [0-5]% [0-5]% [0-5]%</w:t>
        <w:br/>
        <w:t>maintenance and hygiene [0-5]% [0-5]% [0-5]%</w:t>
        <w:br/>
        <w:t>office supplies [0-5]% [0-5]% [0-5]%</w:t>
      </w:r>
    </w:p>
    <w:p>
      <w:r>
        <w:t>21. Moreover, even taking into account the finer segmentation, into 35 categories, considered by the parties, their cumulative market shares never reach 20%.</w:t>
      </w:r>
    </w:p>
    <w:p>
      <w:r>
        <w:t>22. Furthermore, the parties face numerous competitors in the various markets of the concerned product families, with the packaging trade sector comprising several hundred distribution companies. Antalis, Siremballage, Linpac Distribution, Inapa France, Groupe Papyrus France, Kappa Carton France, BBA, and Bulteau generate the highest revenues in this sector.</w:t>
      </w:r>
    </w:p>
    <w:p>
      <w:r>
        <w:t>23. More specifically, in the packaging boxes market, the parties estimated the market shares of their main competitors at 3.6% for Siremballage, 3.3% for Antalis, 6.7% for BBA, and 4.6% for Bulteau. In the cushioning and protection products market, the market shares of these same competitors were evaluated at 2.5%, 2.2%, 4.6%, and 3.2%, respectively. In the industrial packaging market, these same competitors have respective market shares of 2.3%, 2%, 4.2%, and 2.9%.</w:t>
      </w:r>
    </w:p>
    <w:p>
      <w:r>
        <w:t>24. Regarding the other markets where the parties present cumulative market shares of less than 10%, many strong competitors are also active, notably Metro (with estimated market shares of 18.7% for packaging for the food retail trade, 34.4% for packaging products for stores and shops), Manutan (with market shares of 7.4% for the handling and storage market), Office Depot (with 9.8% market share in the office supplies segment).</w:t>
      </w:r>
    </w:p>
    <w:p>
      <w:r>
        <w:t>25. Furthermore, the calculation of the parties' market shares as presented above does not take into account direct sales made by the manufacturers themselves to professionals. Thus, for the packaging boxes market, the parties present cumulative market shares of [0-5]% when considering the volume of products sold directly by manufacturers.</w:t>
      </w:r>
    </w:p>
    <w:p>
      <w:r>
        <w:t>***</w:t>
      </w:r>
    </w:p>
    <w:p>
      <w:r>
        <w:t>26. Given the above elements, the operation is not likely to harm competition in the concerned markets.</w:t>
      </w:r>
    </w:p>
    <w:p>
      <w:r>
        <w:t>DECIDES</w:t>
      </w:r>
    </w:p>
    <w:p>
      <w:r>
        <w:t>Sole Article: The operation notified under number 10-0080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