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https://www.autoritedelaconcurrence.fr/fr/decision-de-controle-des-concentrations/relative-la-prise-de-controle-exclusif-de-la-societe-chepar</w:t>
      </w:r>
    </w:p>
    <w:p>
      <w:r>
        <w:t>Pages translated : 5</w:t>
      </w:r>
    </w:p>
    <w:p/>
    <w:p>
      <w:r>
        <w:rPr>
          <w:b/>
        </w:rPr>
        <w:t>[Pages 1–3]</w:t>
      </w:r>
    </w:p>
    <w:p>
      <w:r>
        <w:t xml:space="preserve">FRENCH REPUBLIC  </w:t>
        <w:br/>
        <w:t xml:space="preserve">Decision No. 10-DCC-124 of October 6, 2010  </w:t>
        <w:br/>
        <w:t xml:space="preserve">regarding the exclusive control of the company Chepar by the company ITM Alimentaire Sud Est  </w:t>
        <w:br/>
        <w:t xml:space="preserve">The Competition Authority,  </w:t>
        <w:br/>
        <w:t xml:space="preserve">Having regard to the notification file submitted in full to the merger service on September 2, 2010, concerning the acquisition of the majority of the shares of the company Chepar by the company ITM Alimentaire Sud Est, formalized by a transfer protocol dated August 3, 2010;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The company ITM Entreprises, 100% controlled by the Société civile des Mousquetaires, itself held by 1,330 natural persons known as "associated members," conducts and animates the network of independent merchants known as the "Groupement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retail outlets. ITM Entreprises also provides its franchisees with various services for prospecting, consulting, training, etc. Finally, ITM Entreprises offers franchisees the opportunity to benefit from advantageous supply conditions with its national and regional subsidiaries as well as with referenced suppliers outside the "Groupement des Mousquetaires."  </w:t>
        <w:br/>
        <w:t xml:space="preserve">2. The company ITM Alimentaire Sud-Est is a company under French law held at [&gt;50]% by the company ITM Alimentaire France, which is itself held by the company ITM Entreprises. The company ITM Entreprises has entrusted the company ITM Alimentaire Sud Est with the management and development of the network of franchisees operating under the Intermarché, Ecomarché, and Netto brands in the Southeast region of France.  </w:t>
        <w:br/>
        <w:t xml:space="preserve">3. The company Chepar is a simplified joint-stock company under French law that operates a predominantly food retail outlet under the Intermarché brand in Cavaillon (84). The shares of the company Chepar are held at [&gt;50]% by Mr. X. The company Chepar wholly owns two real estate investment companies (SCI) that own the land on which the retail outlet and its parking lot are located, as well as the SARL Carbu Pape, in which it holds more than 99% of the share capital, which operates a gas station near the retail outlet.  </w:t>
        <w:br/>
        <w:t xml:space="preserve">4. The notified transaction, formalized by a transfer protocol dated August 3, 2010, consists of the acquisition, on a provisional basis, of all the shares held by Mr. X (i.e., [&gt;50]% of the shares) of Chepar by the ITM Entreprises group, via the company ITM Alimentaire Sud Est.  </w:t>
        <w:br/>
        <w:t xml:space="preserve">5. In that it results in the exclusive control of the company Chepar by the ITM Entreprises group, the notified transaction is indeed a concentration within the meaning of Article L. 430-1 of the Commercial Code.  </w:t>
        <w:br/>
        <w:t xml:space="preserve">6. The companies concerned operate one or more retail stores and together achieve a total worldwide turnover of more than 75 million euros (ITM Entreprises group: […] billion euros for the fiscal year ending December 31, 2009; the company Chepar: […] million euros for the same year). Each achieves in France in the retail sector a turnover exceeding 15 million euros (ITM Entreprises group: […] billion euros for the fiscal year ending December 31, 2009; the company Chepar: […] million euros for the same year). Given these turnover figures, the transaction does not have a community dimension. On the other hand, the control thresholds related to retail mentioned in point II of Article L. 430-2 of the Commercial Code are exceeded. The present transaction is therefore subject to the provisions of Articles L. 430-3 and following of the Commercial Code relating to economic concentration.  </w:t>
        <w:br/>
        <w:t xml:space="preserve">II. Delimitation of relevant markets  </w:t>
        <w:br/>
        <w:t xml:space="preserve">7. According to the consistent practice of national and community competition authorities, two categories of markets can be delineated in the food retail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  </w:t>
        <w:br/>
        <w:t xml:space="preserve">A. DOWNSTREAM MARKETS OF DISTRIBUTION  </w:t>
        <w:br/>
        <w:t xml:space="preserve">1. SERVICE MARKETS  </w:t>
        <w:br/>
        <w:t xml:space="preserve">8. Regarding the retail sale of everyday consumer goods, competition authorities, both community and national, have distinguished six categories of trade using several criteria, including store size, sales techniques, accessibility, the nature of the service provided, and the range of products offered:  </w:t>
        <w:br/>
        <w:t xml:space="preserve">(i) hypermarkets, (ii) supermarkets, (iii) specialized trade, (iv) small retail trade, (v) discount stores, (vi) mail order sales.  </w:t>
        <w:br/>
        <w:t xml:space="preserve">9. Hypermarkets are usually defined as food-dominant stores with a legal sales area equal to or greater than 2,500 m².  </w:t>
        <w:br/>
        <w:t xml:space="preserve">10. In this case, the store involved in the operation currently occupies a sales area of 3,850 m², thus it falls into the category of hypermarkets.  </w:t>
        <w:br/>
        <w:t xml:space="preserve">2. GEOGRAPHICAL DELIMITATION  </w:t>
        <w:br/>
        <w:t xml:space="preserve">11. In its recent decisions concerning operations involving hypermarkets or supermarkets, the Competition Authority has recalled that depending on the size of the stores concerned, the conditions of competition must be assessed in two different areas:  </w:t>
        <w:br/>
        <w:t xml:space="preserve">- a first market where the demand from consumers in an area meets the supply of hypermarkets that they can access within less than 30 minutes of travel by car and which are, from their point of view, substitutable for each other;  </w:t>
        <w:br/>
        <w:t xml:space="preserve">- a second market where the demand from consumers meets the supply of supermarkets and equivalent forms of trade located within less than 15 minutes of travel time by car. These latter forms of trade may include, in addition to supermarkets, hypermarkets located near consumers and discount stores.  </w:t>
        <w:br/>
        <w:t xml:space="preserve">12. Other criteria may nevertheless be taken into account to assess the impact of a concentration on the competitive situation in retail distribution markets, which may lead to refining, in the specific case, the usual delimitations presented above.  </w:t>
        <w:br/>
        <w:t xml:space="preserve">13. In this case, the store involved falls into the category of hypermarkets, the competitive analysis will be conducted on both markets, one including hypermarkets located within a 30-minute radius around Cavaillon and the other including all hypermarkets, supermarkets, and discount stores located within a catchment area of 15 minutes around Cavaillon.  </w:t>
        <w:br/>
        <w:t xml:space="preserve">B. UPSTREAM SUPPLY MARKETS  </w:t>
        <w:br/>
        <w:t xml:space="preserve">14. Regarding supply markets, the European Commission has recognized the existence of national markets by major product groups, a delimitation followed by national authorities.  </w:t>
        <w:br/>
        <w:t>15. There is no reason to challenge this delimitation in the context of the present operation.</w:t>
      </w:r>
    </w:p>
    <w:p>
      <w:r>
        <w:rPr>
          <w:b/>
        </w:rPr>
        <w:t>[Pages 4–5]</w:t>
      </w:r>
    </w:p>
    <w:p>
      <w:r>
        <w:t xml:space="preserve">III. Competitive Analysis  </w:t>
        <w:br/>
        <w:t xml:space="preserve">A. DOWNSTREAM MARKET OF DISTRIBUTION  </w:t>
        <w:br/>
        <w:t xml:space="preserve">16. In the market comprising hypermarkets located within a 30-minute driving area around Cavaillon, the Intermarché operated by the target represents 11.2% of the sales area. Also present in the Cavaillon area are three other Intermarché hypermarkets located in Morières les Avignon, L'Isle sur la Sorgue, and Saint Rémy de Provence. In total, the hypermarkets operated under a brand of the ITM Entreprises group thus represent, in the catchment area, a combined market share of 40% of the sales area.  </w:t>
        <w:br/>
        <w:t xml:space="preserve">17. These stores face competition from two hypermarkets of the Auchan group holding 45.7% of the sales area and one hypermarket of the Leclerc group holding 14% of the sales area.  </w:t>
        <w:br/>
        <w:t xml:space="preserve">18. In the market comprising supermarkets and other equivalent forms of trade, located within a 15-minute driving radius around Cavaillon, the Intermarché operated by the target represents 21% of the sales area. Given the presence in the same area of an Ecomarché supermarket located in Cabannes, the stores operated under a brand of ITM Entreprises represent a combined market share of 25.8%.  </w:t>
        <w:br/>
        <w:t xml:space="preserve">19. These stores face competition from one hypermarket and one supermarket under the Auchan group holding 41% of the market shares, from several supermarkets under the Système U and Casino groups, as well as from two discount stores. Furthermore, the notifying party indicated that the Super U group has obtained authorization to create a new retail outlet of 1,300 m². This creation will lead to a slight decrease in the market shares of the Intermarché group as presented above.  </w:t>
        <w:br/>
        <w:t xml:space="preserve">20. Consequently, the operation is not likely to harm competition in the markets concerned.  </w:t>
        <w:br/>
        <w:t xml:space="preserve">B. UPSTREAM MARKET OF SUPPLY  </w:t>
        <w:br/>
        <w:t xml:space="preserve">21. Regarding the upstream supply markets, the operation, which concerns only one store, is not likely to significantly strengthen the purchasing power of the ITM Entreprises group, across all products as well as by major product groups.  </w:t>
        <w:br/>
        <w:t xml:space="preserve">22. Consequently, the operation is not likely to harm competition both in the downstream market and in the upstream market of distribution.  </w:t>
        <w:br/>
        <w:t>4</w:t>
      </w:r>
    </w:p>
    <w:p>
      <w:r>
        <w:t xml:space="preserve">DECIDES  </w:t>
        <w:br/>
        <w:t xml:space="preserve">Sole Article: The notified operation under number 10-0141 is authorized.  </w:t>
        <w:br/>
        <w:t xml:space="preserve">The Vice-President,  </w:t>
        <w:br/>
        <w:t xml:space="preserve">Françoise Aubert  </w:t>
        <w:br/>
        <w:t xml:space="preserve">Competition Authority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