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https://www.autoritedelaconcurrence.fr/fr/decision-de-controle-des-concentrations/relative-la-prise-de-controle-exclusif-de-la-societe-chryso</w:t>
      </w:r>
    </w:p>
    <w:p>
      <w:r>
        <w:t>Pages translated : 5</w:t>
      </w:r>
    </w:p>
    <w:p/>
    <w:p>
      <w:r>
        <w:rPr>
          <w:b/>
        </w:rPr>
        <w:t>[Pages 1–3]</w:t>
      </w:r>
    </w:p>
    <w:p>
      <w:r>
        <w:t xml:space="preserve">FRENCH REPUBLIC  </w:t>
        <w:br/>
        <w:t xml:space="preserve">Decision No. 14-DCC-150 of October 16, 2014  </w:t>
        <w:br/>
        <w:t>regarding the exclusive control of Chryso Group Holding by LBO France Gestion</w:t>
      </w:r>
    </w:p>
    <w:p>
      <w:r>
        <w:t xml:space="preserve">The Competition Authority,  </w:t>
        <w:br/>
        <w:t xml:space="preserve">Having regard to the notification file submitted in full to the merger service on September 11, 2014, regarding the exclusive control of Chryso Group Holding SAS and its subsidiaries by LBO France Gestion SAS via the professional private equity fund FPCI White Knight IX, formalized by a purchase agreement and an offer letter signed on August 14, 2014;  </w:t>
        <w:br/>
        <w:t xml:space="preserve">Having regard to Book IV of the Commercial Code relating to the freedom of prices and competition, and in particular Articles L. 430-1 to L. 430-7;  </w:t>
        <w:br/>
        <w:t xml:space="preserve">Having regard to the additional elements transmitted by the parties during the investigation;  </w:t>
        <w:br/>
        <w:t>Adopts the following decision:</w:t>
      </w:r>
    </w:p>
    <w:p>
      <w:r>
        <w:t xml:space="preserve">I. The companies concerned and the operation  </w:t>
        <w:br/>
        <w:t xml:space="preserve">1. LBO France Gestion SAS (hereinafter "LBO France") is a company specialized in leveraged buyout operations. It holds, through the funds it manages, stakes in companies present in diversified economic sectors. LBO France is not controlled by any of its shareholders, individuals whose stakes in the share capital of LBO France are held through holding companies. Similarly, no investor in the funds managed by LBO France is likely to exert decisive influence over LBO France's decisions.  </w:t>
        <w:br/>
        <w:t xml:space="preserve">2. Chryso Group Holding (hereinafter "CGH") is a holding company whose subsidiaries are active in the production and marketing of concrete admixtures and cement additives in Europe, Africa, and the United States.  </w:t>
        <w:br/>
        <w:t>3. Under the draft purchase agreement and the offer letter signed on August 14, 2014, the operation consists of the acquisition of all the capital and voting rights of CGH by LBO France via the FPCI White Knight IX.</w:t>
      </w:r>
    </w:p>
    <w:p>
      <w:r>
        <w:t xml:space="preserve">4. As it results in the exclusive control of CGH by LBO France, the notified operation constitutes a concentration within the meaning of Article L. 430-1 of the Commercial Code.  </w:t>
        <w:br/>
        <w:t>5. The companies concerned together achieve a total worldwide turnover excluding tax of more than 150 million euros (LBO France: [...] euros for the fiscal year ending December 31, 2013; CGH: [...] euros for the same fiscal year). Each of these companies has achieved a turnover in France exceeding 50 million euros (LBO France: [...] euros for the fiscal year ending December 31, 2013; CGH: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sector of manufacturing and marketing construction materials. CGH produces and markets cement additives and concrete admixtures while LBO France operates, through its stake in the company Consolis, in the market for the production and marketing of precast concrete products. The operation does not result in any horizontal overlap, but its effects will be examined in terms of vertical effects on the concrete markets.  </w:t>
        <w:br/>
        <w:t xml:space="preserve">A. THE PRODUCT MARKETS  </w:t>
        <w:br/>
        <w:t xml:space="preserve">1. THE PRODUCTION AND MARKETING OF CONCRETE ADMIXTURES  </w:t>
        <w:br/>
        <w:t xml:space="preserve">7. Consistently, national decision-making practice distinguishes as many markets as there are families of products in the construction materials sector. National competition authorities have not ruled on the market for the production and marketing of concrete admixtures.  </w:t>
        <w:br/>
        <w:t xml:space="preserve">8. According to the NF brand reference, concrete admixtures can be defined as "a product incorporated at the time of mixing concrete or mortar at a dose less than or equal to 5% by mass of the cement content of the concrete or mortar, to modify the properties of the mixture in its fresh and/or hardened state." Three main categories of admixtures can be distinguished according to the NF reference: those that modify the workability of concrete, those that modify setting and hardening, and those that modify certain specific properties. Within these categories, there are 11 main types of admixtures.  </w:t>
        <w:br/>
        <w:t xml:space="preserve">9. The European Commission has considered that the market for concrete admixtures constitutes a distinct market and has retained a sub-segmentation according to the chemical or mineral nature of the admixtures. However, it did not retain a sub-segmentation by type of admixture, and the question of segmentation by product category was not considered.  </w:t>
        <w:br/>
        <w:t xml:space="preserve">10. In this case, CGH is active in the market for the production and marketing of concrete admixtures. It produces and markets admixtures from the three categories of the NF standard, both mineral and chemical.  </w:t>
        <w:br/>
        <w:t>11. There is no reason to challenge the segmentations adopted by the practice.</w:t>
      </w:r>
    </w:p>
    <w:p>
      <w:r>
        <w:t xml:space="preserve">2. THE PRODUCTION AND MARKETING OF PRECAST CONCRETE PRODUCTS  </w:t>
        <w:br/>
        <w:t xml:space="preserve">12. Within the construction materials manufacturing sector, decision-making practice distinguishes the market for precast concrete products from other construction materials, such as ready-mix concrete, construction aggregates, or cement. Additional sub-segmentations have been considered, such as segmentation by product type or according to the destination of products for construction (facades, beams, balconies, hollow slabs) or for public works and environmental purposes (sewer pipes, railway sleepers, elements of civil engineering works and urban environment).  </w:t>
        <w:br/>
        <w:t xml:space="preserve">13. However, both European and national authorities have also retained broader market definitions in this sector in the presence of limited market shares. Thus, the European Commission has estimated that in the presence of low market shares and solely for the purposes of analyzing vertical effects, it was appropriate to consider a market encompassing all precast concrete products. Similarly, the Authority has considered a single market for concrete construction materials.  </w:t>
        <w:br/>
        <w:t xml:space="preserve">14. In this case, LBO France is active, through the company Consolis which it manages, in the market for precast concrete products intended for construction and public works markets.  </w:t>
        <w:br/>
        <w:t xml:space="preserve">15. The notifying party considers that the relevant market is that of the production and marketing of precast concrete products, notably due to the lack of specificity of the different categories of precast concrete products from the perspective of the supply of admixtures.  </w:t>
        <w:br/>
        <w:t>16. In this case, the precise definition of the market for precast concrete products may remain open, with the conclusions of the analysis remaining unchanged regardless of the hypotheses retained.</w:t>
      </w:r>
    </w:p>
    <w:p>
      <w:r>
        <w:rPr>
          <w:b/>
        </w:rPr>
        <w:t>[Pages 4–5]</w:t>
      </w:r>
    </w:p>
    <w:p>
      <w:r>
        <w:t>B. GEOGRAPHIC MARKETS</w:t>
        <w:br/>
        <w:t>1. THE PRODUCTION AND MARKETING OF CONCRETE ADMIXTURES</w:t>
        <w:br/>
        <w:t>17. Community practice considers that the market for the production and marketing of concrete admixtures has a dimension of at least 500 to 1,000 km around the production sites8 and has conducted its examinations at the European or even global level9.</w:t>
        <w:br/>
        <w:t>18. The notifying party believes that the market is of European dimension, indicating that the admixtures marketed within the EU must meet European technical standards and be CE marked. It also highlights that the main concrete producers centralize their purchases at the European level and negotiate globally.</w:t>
        <w:br/>
        <w:t>19. In the present case, the precise definition of the geographic market for concrete admixtures can remain open, with the conclusions of the analysis remaining unchanged regardless of the assumptions made.</w:t>
        <w:br/>
        <w:t>2. THE PRODUCTION AND MARKETING OF PRECAST CONCRETE PRODUCTS</w:t>
        <w:br/>
        <w:t>20. The national10 and community11 authorities consistently consider that this market is of national dimension.</w:t>
        <w:br/>
        <w:t>21. There is no reason to challenge the geographic delimitation of this market in the context of the present operation.</w:t>
        <w:br/>
        <w:t>III. Competitive Analysis</w:t>
        <w:br/>
        <w:t>22. A vertical concentration can restrict competition by making access to the markets where the new entity will be active more difficult, or even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w:t>
        <w:br/>
        <w:t>23. The decision-making practice of the competition authorities generally dismisses these locking risks when the market share of the company resulting from the operation in the relevant markets does not exceed 30%.</w:t>
        <w:br/>
        <w:t>8 Commission Decision COMP/M.4177 cited above.</w:t>
        <w:br/>
        <w:t>9 Commission Decision COMP/M.3709, Orkla/Elkem, of January 20, 2005.</w:t>
        <w:br/>
        <w:t>10 Letter from the Minister of Economy dated April 17, 2003, cited above.</w:t>
        <w:br/>
        <w:t>11 Commission Decisions COMP/M.2317, Lafarge/Blue Circle, of March 1, 2001, COMP/M.3415 "CRH/SEMAPA/SECIL JV" of May 28, 2014, COMP/M.6020, ACS/Hochtief, of January 14, 2011.</w:t>
      </w:r>
    </w:p>
    <w:p>
      <w:r>
        <w:t>24. In the overall upstream market for concrete admixtures, CGH has a market share of [5-10]% at the European level. This market share remains below 10% when considering CGH's sales within a radius of 500 to 1000 km around the production site.</w:t>
        <w:br/>
        <w:t>25. CGH's market share is [5-10]% in the market for chemical concrete admixtures only, and [10-20]% in the market for mineral concrete admixtures in a European market. In the case of a geographic market defined within a radius of 500 to 1000 km around the production site, these market shares would be [5-10]% for organic admixtures and [10-20]% for mineral admixtures.</w:t>
        <w:br/>
        <w:t>26. In the case of segmentation according to the three main categories of admixtures proposed by the NF standard, the notifying party estimates that its position will be below 15% in any category. CGH will continue to face competition from significant players such as SIKA or BASF, each of which has market shares of [30-40]%.</w:t>
        <w:br/>
        <w:t>27. In the downstream market for the production and marketing of precast concrete products, Consolis estimates its market share at [10-20]% in value and [5-10]% in volume in the French market. When distinguishing between products intended for the construction sector and those intended for the public works sector, Consolis's share is [0-5]% for the former and [20-30]% for the latter. The notifying party further specifies that the market for the production and marketing of concrete products is very fragmented, with the seven largest market players representing less than 50% of the total market.</w:t>
        <w:br/>
        <w:t>28. Furthermore, CGH's sales to Consolis accounted for only [0-5]% of its concrete admixture sales made in France in 2013. Similarly, Consolis currently sources admixtures from various suppliers, including players such as BASF or SIKA. In addition, admixtures represent a limited share ([0-5]%) of the production costs of precast concrete products. Finally, the notifying party indicates that if Consolis were to source exclusively from CGH for its admixture needs, this would only cover [10-20]% of CGH's current sales. Therefore, the parties have no interest in implementing a locking strategy.</w:t>
        <w:br/>
        <w:t>29. Consequently, the operation is not likely to harm competition through vertical effects in the relevant markets.</w:t>
        <w:br/>
        <w:t>DECIDES</w:t>
        <w:br/>
        <w:t>Sole Article: The operation notified under number 14-153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