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https://www.autoritedelaconcurrence.fr/fr/decision-de-controle-des-concentrations/relative-la-prise-de-controle-exclusif-de-la-societe-cimpa</w:t>
      </w:r>
    </w:p>
    <w:p>
      <w:r>
        <w:t>Pages translated : 5</w:t>
      </w:r>
    </w:p>
    <w:p/>
    <w:p>
      <w:r>
        <w:rPr>
          <w:b/>
        </w:rPr>
        <w:t>[Pages 1–3]</w:t>
      </w:r>
    </w:p>
    <w:p>
      <w:r>
        <w:t xml:space="preserve">FRENCH REPUBLIC  </w:t>
        <w:br/>
        <w:t xml:space="preserve">Decision No. 15-DCC-90 of July 20, 2015  </w:t>
        <w:br/>
        <w:t xml:space="preserve">regarding the exclusive control of the company Cimpa by the company  </w:t>
        <w:br/>
        <w:t>Sopra Steria Group</w:t>
      </w:r>
    </w:p>
    <w:p>
      <w:r>
        <w:t xml:space="preserve">The Competition Authority,  </w:t>
        <w:br/>
        <w:t xml:space="preserve">Having regard to the notification file submitted in full to the merger service on June 12, 2015,  </w:t>
        <w:br/>
        <w:t xml:space="preserve">regarding the exclusive control of the company Cimpa by the company Sopra Steria Group,  </w:t>
        <w:br/>
        <w:t xml:space="preserve">formalized by the minutes of the Sopra Steria board of directors meeting of March 17, 2015,  </w:t>
        <w:br/>
        <w:t xml:space="preserve">a firm offer project dated April 16, 2015, and a certification from the president of Airbus  </w:t>
        <w:br/>
        <w:t xml:space="preserve">Invest dated June 24, 2015;  </w:t>
        <w:br/>
        <w:t xml:space="preserve">Having regard to Book IV of the Commercial Code relating to price freedom and competition, and  </w:t>
        <w:br/>
        <w:t xml:space="preserve">notably its Articles L. 430-1 to L. 430-10;  </w:t>
        <w:br/>
        <w:t xml:space="preserve">Having regard to the supplementary elements transmitted by the parties during the investigation;  </w:t>
        <w:br/>
        <w:t>Adopts the following decision:</w:t>
      </w:r>
    </w:p>
    <w:p>
      <w:r>
        <w:t xml:space="preserve">I. The companies concerned and the operation  </w:t>
        <w:br/>
        <w:t xml:space="preserve">1. Sopra Steria Group (hereinafter "Sopra Steria") is a company listed on the NYSE  </w:t>
        <w:br/>
        <w:t xml:space="preserve">Euronext Paris, held 18.2% by its founders and the company Sopra GMT, 2.5% by  </w:t>
        <w:br/>
        <w:t xml:space="preserve">executives of Sopra Steria, 7% by the company Geninfo, 8.7% by employees, and  </w:t>
        <w:br/>
        <w:t xml:space="preserve">63.4% by numerous shareholders who each hold less than 5% of the capital of Sopra  </w:t>
        <w:br/>
        <w:t xml:space="preserve">Steria. In view of these elements, the statutes of the company Sopra Steria, and the  </w:t>
        <w:br/>
        <w:t xml:space="preserve">shareholder agreements, Sopra Steria is subject to the fluctuating control of its shareholders. The  </w:t>
        <w:br/>
        <w:t xml:space="preserve">Sopra Steria group is active in the field of providing IT services for large companies. It offers a  </w:t>
        <w:br/>
        <w:t xml:space="preserve">comprehensive range of IT services (notably consulting, systems integration, business solution  </w:t>
        <w:br/>
        <w:t xml:space="preserve">development, IT infrastructure management) to clients in various sectors of the economy  </w:t>
        <w:br/>
        <w:t xml:space="preserve">(banking and insurance, industry, transportation, telecommunications and media, energy and  </w:t>
        <w:br/>
        <w:t xml:space="preserve">distribution).  </w:t>
        <w:br/>
        <w:t xml:space="preserve">2. Cimpa is a company wholly owned by Airbus Invest, a subsidiary of the Airbus group, and  </w:t>
        <w:br/>
        <w:t xml:space="preserve">is at the head of the Cimpa group. This group is present in the field of providing IT services  </w:t>
        <w:br/>
        <w:t>that enable companies to manage the lifecycle of their products</w:t>
      </w:r>
    </w:p>
    <w:p>
      <w:r>
        <w:t xml:space="preserve">and their data (design, manufacturing, marketing, distribution, maintenance,  </w:t>
        <w:br/>
        <w:t xml:space="preserve">evolution, end of life). Cimpa particularly operates with clients in the aerospace, defense,  </w:t>
        <w:br/>
        <w:t xml:space="preserve">transportation, energy, and automotive sectors.  </w:t>
        <w:br/>
        <w:t xml:space="preserve">3. According to the minutes of the Sopra Steria board of directors meeting of March 17, 2015,  </w:t>
        <w:br/>
        <w:t xml:space="preserve">the firm offer project dated April 16, 2015, and the certification from the president of Airbus  </w:t>
        <w:br/>
        <w:t xml:space="preserve">Invest dated June 24, 2015, the operation consists of Sopra Steria acquiring 100% of the capital of  </w:t>
        <w:br/>
        <w:t xml:space="preserve">Cimpa.  </w:t>
        <w:br/>
        <w:t xml:space="preserve">4. As it results in Sopra Steria's exclusive control of Cimpa, the notified operation constitutes a  </w:t>
        <w:br/>
        <w:t xml:space="preserve">concentration within the meaning of Article L. 430-1 of the Commercial Code.  </w:t>
        <w:br/>
        <w:t xml:space="preserve">5. The companies concerned achieve a total global turnover of more than 150 million euros  </w:t>
        <w:br/>
        <w:t xml:space="preserve">(Sopra Steria group: 3.37 billion euros for the fiscal year ending December 31, 2014; Cimpa  </w:t>
        <w:br/>
        <w:t xml:space="preserve">group: […] euros for the same fiscal year). Each achieves, in France, a turnover exceeding 50  </w:t>
        <w:br/>
        <w:t xml:space="preserve">million euros (Sopra Steria group: […] euros for the fiscal year ending December 31, 2014;  </w:t>
        <w:br/>
        <w:t xml:space="preserve">Cimpa group: […] euros for the same fiscal year). Given these turnover figures, the operation  </w:t>
        <w:br/>
        <w:t xml:space="preserve">does not fall under the jurisdiction of the European Union. However, the control thresholds  </w:t>
        <w:br/>
        <w:t xml:space="preserve">mentioned in I of Article L. 430-2 of the Commercial Code are exceeded. The present operation is  </w:t>
        <w:br/>
        <w:t xml:space="preserve">therefore subject to the provisions of Articles L. 430-3 and following of the Commercial Code,  </w:t>
        <w:br/>
        <w:t>relating to economic concentration.</w:t>
      </w:r>
    </w:p>
    <w:p>
      <w:r>
        <w:t xml:space="preserve">II. Delimitation of relevant markets  </w:t>
        <w:br/>
        <w:t xml:space="preserve">6. The parties to the operation are simultaneously active in the IT services sector.  </w:t>
        <w:br/>
        <w:t xml:space="preserve">A. PRODUCT MARKETS  </w:t>
        <w:br/>
        <w:t xml:space="preserve">7. The decisional practice, both European and national, has already had the opportunity to  </w:t>
        <w:br/>
        <w:t xml:space="preserve">pronounce on the delimitation of relevant markets in the IT services sector. It has nevertheless  </w:t>
        <w:br/>
        <w:t xml:space="preserve">left open, in each case, the exact delimitation of the relevant markets.  </w:t>
        <w:br/>
        <w:t xml:space="preserve">1 European Commission decisions No. M.2365 of April 4, 2001, Schlumberger / Sema; No. M.2609 of January 31, 2002, HP /  </w:t>
        <w:br/>
        <w:t xml:space="preserve">Compaq; No. M.3555 of September 9, 2004, Hewlett – Packard / Synstar; No. M.3571 of November 18, 2004, IBM /  </w:t>
        <w:br/>
        <w:t xml:space="preserve">Maerskdate / DMData; No. M.3995 of December 1, 2005, Belgacom / Telindus; No. M.5197 of July 25, 2008, HP / EDS and  </w:t>
        <w:br/>
        <w:t xml:space="preserve">No. M.5301 Cap Gemini / BAS of October 13, 2008.  </w:t>
        <w:br/>
        <w:t xml:space="preserve">2 See, for example, the decisions of the Competition Authority No. 14-DCC-56 of April 14, 2014, regarding the exclusive control  </w:t>
        <w:br/>
        <w:t xml:space="preserve">of the company Groupe Euriware by the company Capgemini France, No. 14-DCC-17 of February 13, 2014, regarding the  </w:t>
        <w:br/>
        <w:t xml:space="preserve">exclusive control by the company ITS Group of certain assets of the companies Overlap Groupe, Overlap and Exterinfo,  </w:t>
        <w:br/>
        <w:t xml:space="preserve">No. 13-DCC-100 of August 7, 2012, regarding the exclusive control of the company Osiatis by the company Econocom Group,  </w:t>
        <w:br/>
        <w:t xml:space="preserve">No. 13-DCC-56 of May 2, 2013, regarding the exclusive control of the company Alti SA by the company Tata Consultancy  </w:t>
        <w:br/>
        <w:t xml:space="preserve">Services Netherlands BV, No. 12-DCC-132 of September 7, 2012, regarding the exclusive control of the company ESR by the  </w:t>
        <w:br/>
        <w:t xml:space="preserve">company Osiatis, No. 12-DCC-113 of August 9, 2012, regarding the exclusive control of the company APX by the company  </w:t>
        <w:br/>
        <w:t xml:space="preserve">SPIE Communications, No. 11-DCC-139 of September 20, 2011, regarding the exclusive control of the company Large Network  </w:t>
        <w:br/>
        <w:t xml:space="preserve">Administration and its subsidiary LGD by the company SCC France, No. 11-DCC-20 of February 7, 2011, regarding the  </w:t>
        <w:br/>
        <w:t xml:space="preserve">exclusive control of the APTUS group by the AUSY group, and No. 09-DCC-93 of December 31, 2009, regarding the  </w:t>
        <w:br/>
        <w:t>acquisition by the company Bull SA of assets from the company Crescendo Industries.</w:t>
      </w:r>
    </w:p>
    <w:p>
      <w:r>
        <w:t xml:space="preserve">8. It has thus identified, within the IT services market, seven functional categories of services: (i) global management services also known as "outsourcing" or "systems management services" which include operational services, applied management, technical support management, business continuity, asset management, outsourcing, and scalable leasing; (ii) business management services also known as "process management" or "business process outsourcing" (BPO); (iii) software development and integration, consisting of developing existing software based on specific client requirements; (iv) consulting services, which include technical services on network architecture, planning, or project management assistance; (v) software maintenance and logistical support; (vi) maintenance of IT equipment and logistical support; and (vii) teaching and training.  </w:t>
        <w:br/>
        <w:t xml:space="preserve">9. Different alternative or complementary segmentations have also been considered based on:  </w:t>
        <w:br/>
        <w:t xml:space="preserve">- the type of clientele (SMEs or large accounts);  </w:t>
        <w:br/>
        <w:t xml:space="preserve">- the types of information and communication systems: (i) management application systems, which include IT services used to fulfill a horizontal function within companies or administrations; (ii) embedded scientific technical industrial application systems; (iii) generic application systems; (iv) IT infrastructure systems; and (v) communication infrastructure and enterprise network systems;  </w:t>
        <w:br/>
        <w:t xml:space="preserve">- the sector of activity, namely: (i) communications, (ii) education, (iii) energy and local networks, (iv) financial services, (v) public sector, (vi) health, (vii) industry, (viii) commerce and distribution, (ix) services, and (x) transportation.  </w:t>
        <w:br/>
        <w:t xml:space="preserve">10. There is no need to resolve the question of the precise delimitation of the IT services markets, as the conclusions of the competitive analysis remain unchanged, regardless of the segmentations retained.  </w:t>
        <w:br/>
        <w:t xml:space="preserve">11. The activities of Sopra Steria and Cimpa overlap in four functional categories, namely (i) business management services, (ii) system or software development and integration, (iii) consulting, (iv) software maintenance and logistical support. The parties primarily target a clientele consisting of large companies, as well as certain SMEs. They provide services that fall under embedded scientific technical industrial application systems. Finally, they are both present in the IT services markets aimed at the following sectors: industry, services, transportation, and local networks.  </w:t>
        <w:br/>
        <w:t xml:space="preserve">B. GEOGRAPHICAL MARKETS  </w:t>
        <w:br/>
        <w:t>12. Competition authorities have, on several occasions, held that the markets for IT services were of national dimension, notably due to the necessity for service providers to communicate regularly in the language of their clients.</w:t>
      </w:r>
    </w:p>
    <w:p>
      <w:r>
        <w:rPr>
          <w:b/>
        </w:rPr>
        <w:t>[Pages 4–5]</w:t>
      </w:r>
    </w:p>
    <w:p>
      <w:r>
        <w:t>to maintain a relative proximity with the latter. However, they have noted a certain internationalization of supply and demand.</w:t>
      </w:r>
    </w:p>
    <w:p>
      <w:r>
        <w:t>13. There is no need to revisit this national market delineation on the occasion of the present operation.</w:t>
      </w:r>
    </w:p>
    <w:p>
      <w:r>
        <w:t>III. Competitive Analysis</w:t>
      </w:r>
    </w:p>
    <w:p>
      <w:r>
        <w:t>14. The notifying party estimated the global market for IT services at approximately 25.6 billion euros in France in 2013. The market share of the parties is estimated at [0-5]% for the Cimpa group and approximately [5-10]% for the Sopra Steria group, resulting in a combined market share of [5-10]%.</w:t>
      </w:r>
    </w:p>
    <w:p>
      <w:r>
        <w:t>15. In the functional segments (i) of business management, (ii) of system or software development and integration, (iii) of consulting, (iv) of software maintenance and logistical support, the combined market share of the Sopra Steria and Cimpa groups remains below [5-10]%, regardless of the segmentation considered.</w:t>
      </w:r>
    </w:p>
    <w:p>
      <w:r>
        <w:t>16. In the segment of IT services for large account clients, the combined market share of the parties is below 10%, with Cimpa representing less than [0-5]% of this market. In the segment of IT services aimed at SMEs, the combined market share of the parties remains below [0-5]%.</w:t>
      </w:r>
    </w:p>
    <w:p>
      <w:r>
        <w:t>17. In the event of segmentation according to the type of information and communication systems, the new entity would hold a market share of less than [5-10]% in the segment of embedded industrial technical scientific application systems, in which both Sopra Steria and Cimpa are simultaneously present.</w:t>
      </w:r>
    </w:p>
    <w:p>
      <w:r>
        <w:t>18. Finally, in the event of segmentation by industry sector, the new entity would hold a market share of less than [5-10]% in each of the markets where both Sopra Steria and Cimpa are present.</w:t>
      </w:r>
    </w:p>
    <w:p>
      <w:r>
        <w:t>19. Furthermore, the market for IT services is a fragmented market in which the parties face competition from significant players who are present across all the segments mentioned above, such as IBM, HP, Accenture, Cap Gemini, CSC, or T-Systems.</w:t>
      </w:r>
    </w:p>
    <w:p>
      <w:r>
        <w:t>20. Consequently, the operation is not likely to harm competition in the relevant IT services markets.</w:t>
      </w:r>
    </w:p>
    <w:p>
      <w:r>
        <w:t>DECIDES</w:t>
      </w:r>
    </w:p>
    <w:p>
      <w:r>
        <w:t>Sole Article: The operation notified under number 15-083 is authorized.</w:t>
      </w:r>
    </w:p>
    <w:p>
      <w: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