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https://www.autoritedelaconcurrence.fr/fr/decision-de-controle-des-concentrations/relative-la-prise-de-controle-exclusif-de-la-societe-clarke</w:t>
      </w:r>
    </w:p>
    <w:p>
      <w:r>
        <w:t>Pages translated : 7</w:t>
      </w:r>
    </w:p>
    <w:p/>
    <w:p>
      <w:r>
        <w:rPr>
          <w:b/>
        </w:rPr>
        <w:t>[Pages 1–3]</w:t>
      </w:r>
    </w:p>
    <w:p>
      <w:r>
        <w:t xml:space="preserve">FRENCH REPUBLIC  </w:t>
        <w:br/>
        <w:t xml:space="preserve">Decision No. 16-DCC-215 of December 13, 2016  </w:t>
        <w:br/>
        <w:t xml:space="preserve">regarding the exclusive control of Clarke Energy by  </w:t>
        <w:br/>
        <w:t>the Kohler group</w:t>
      </w:r>
    </w:p>
    <w:p>
      <w:r>
        <w:t xml:space="preserve">The Competition Authority,  </w:t>
        <w:br/>
        <w:t xml:space="preserve">Having regard to the notification file submitted in full to the merger service on November 10, 2016, regarding the exclusive control of Clarke Energy Topco Limited by KK Daytona Holding Ltd, formalized by a share transfer agreement dated November 1, 2016;  </w:t>
        <w:br/>
        <w:t xml:space="preserve">Having regard to Book IV of the Commercial Code relating to the freedom of prices and competition, and in particular its Articles L. 430-1 to L. 430-7 and R. 461-1;  </w:t>
        <w:br/>
        <w:t xml:space="preserve">Having regard to the supplementary elements transmitted by the parties during the investigation;  </w:t>
        <w:br/>
        <w:t>Adopts the following decision:</w:t>
      </w:r>
    </w:p>
    <w:p>
      <w:r>
        <w:t xml:space="preserve">I. The companies concerned and the operation  </w:t>
        <w:br/>
        <w:t xml:space="preserve">1. KK Daytona Holding Ltd is a company controlled by Kohler Co, at the head of the Kohler group, which was created for the needs of the operation. The Kohler group is active in the sectors of kitchens and bathrooms, furniture and interior decoration items, real estate and hospitality, as well as in energy.  </w:t>
        <w:br/>
        <w:t xml:space="preserve">2. Clarke Energy Topco Limited (hereinafter, "Clarke Energy") is a company whose capital is currently held by 15 shareholders, the main ones being ECI Partners and Jim Clarke, who hold respectively […] % and […] %. Clarke Energy is primarily active in providing customized energy solutions and after-sales services.  </w:t>
        <w:br/>
        <w:t>3. Under a share transfer agreement dated November 1, 2016, the operation consists of the acquisition of 100% of the capital and voting rights of Clarke Energy by the Kohler group, through the company KK Daytona Holding. Insofar as it results in the exclusive control of Clarke Energy by the Kohler group, the operation constitutes a concentration operation within the meaning of Article L. 430-1 of the Commercial Code.</w:t>
      </w:r>
    </w:p>
    <w:p>
      <w:r>
        <w:t>4. The companies concerned together achieve a total worldwide turnover excluding taxes of more than 150 million euros (Kohler group: […] euros for the fiscal year ending December 31, 2015; Clarke Energy: […] euros for the same fiscal year). Each of these companies achieved a turnover in France exceeding 50 million euros (Kohler group: […] euros for the fiscal year ending December 31, 2015; Clarke Energy: […] euros for the same fiscal year). Given these turnovers,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5. The activities of the parties mainly overlap in the sector of the production and distribution of generator sets and the maintenance, repair, and spare parts services for generator sets. Upstream of these markets, the Kohler group produces components that are part of the manufacturing of generator sets.</w:t>
      </w:r>
    </w:p>
    <w:p>
      <w:r>
        <w:t xml:space="preserve">A. THE PRODUCT MARKETS  </w:t>
        <w:br/>
        <w:t xml:space="preserve">1. THE PRODUCTION OF GENERATOR SET COMPONENTS  </w:t>
        <w:br/>
        <w:t xml:space="preserve">6. A generator set consists of several elements, including an engine, an alternator, and an electrical distribution and control panel. The Kohler group manufactures and distributes engines (a) and electrical distribution and control panels (b).  </w:t>
        <w:br/>
        <w:t xml:space="preserve">a) The production of engines  </w:t>
        <w:br/>
        <w:t xml:space="preserve">7. European decision-making practice has distinguished diesel engines and gas engines, the latter of which can be further segmented into piston engines or turbine engines. Within each of these markets, the Commission has also segmented engines according to the electrical power output or their rotational speed, insofar as these characteristics meet different uses and needs.  </w:t>
        <w:br/>
        <w:t xml:space="preserve">8. In this case, the question of the exact delineation of these markets can be left open, insofar as the conclusions of the competitive analysis remain unchanged, regardless of the segmentations considered.  </w:t>
        <w:br/>
        <w:t xml:space="preserve">1 See the European Commission decision COMP/M.3113 of April 14, 2003 GE/Jenbacher.  </w:t>
        <w:br/>
        <w:t xml:space="preserve">2 See the European Commission decision COMP/M.6039 of January 4, 2011 GE/Dresser.  </w:t>
        <w:br/>
        <w:t>3 See the European Commission decision COMP/M.6172 of July 25, 2011 Daimler/Rolls-Royce/Tognum/Bergen.</w:t>
      </w:r>
    </w:p>
    <w:p>
      <w:r>
        <w:t xml:space="preserve">b) The production of electrical distribution and control panels  </w:t>
        <w:br/>
        <w:t xml:space="preserve">9. European decision-making practice has distinguished a market for the production of electrical distribution panels, segmented according to the type of products and components. The notifying party considers that the production of control and signaling auxiliaries (or "control-command") for generator sets constitutes a distinct market.  </w:t>
        <w:br/>
        <w:t xml:space="preserve">10. In this case, the question of the exact delineation of these markets can be left open, insofar as the conclusions of the competitive analysis remain unchanged, regardless of the segmentations considered.  </w:t>
        <w:br/>
        <w:t xml:space="preserve">2. THE PRODUCTION AND DISTRIBUTION OF GENERATOR SETS  </w:t>
        <w:br/>
        <w:t xml:space="preserve">11. Decision-making practice distinguishes diesel generator sets from gas generator sets. The European Commission has thus considered that diesel generator sets and gas generator sets are not suitable for the same applications in that "diesel generator sets are primarily used as a backup power source in emergencies, while gas generator sets are used more efficiently as a continuous power supply alternative to the electrical grid." Within each of these two categories, the Commission has also distinguished generator sets according to the electrical power output or their rotational speed.  </w:t>
        <w:br/>
        <w:t xml:space="preserve">12. Regarding gas generator sets, the Commission has considered that generator sets operating at high speed (speed exceeding 1,000 revolutions per minute) and with a power output of less than 0.5 MW are distinct from generator sets operating at high speed and with a power output exceeding 0.5 MW. The Commission has also recognized a specific market for gas generator sets delivering a power output exceeding 0.5 MW.  </w:t>
        <w:br/>
        <w:t xml:space="preserve">13. Furthermore, regarding the distribution of generator sets, the Commission has identified a market for the provision of "turnkey" solutions, as generator sets are sold as part of associated services, distinguishing two levels of service. When the provision of a generator set also includes design and engineering services, ancillary equipment (valves, pumps, cooling systems, etc.), as well as the creation of foundations or other civil engineering works, these are "turnkey" solutions. The so-called "partial turnkey" solutions correspond to an installation limited to the provision of the generator set and a few accessories.  </w:t>
        <w:br/>
        <w:t xml:space="preserve">4 See the European Commission decision COMP/M.2283 of October 10, 2001 Schneider Electric/Legrand.  </w:t>
        <w:br/>
        <w:t xml:space="preserve">5 See the European Commission decision COMP/M.6106 of October 19, 2011 Caterpillar/MWM, or the letter C2005-109 from the Minister of Economy, Finance and Industry dated December 8, 2005 to the advisors of Kohler Co. regarding the Kohler/Meunier Group operation.  </w:t>
        <w:br/>
        <w:t xml:space="preserve">6 Decision-making practice considers that natural gas generator sets and non-natural gas generator sets are part of the same product market (see the aforementioned decision COMP/M.6106).  </w:t>
        <w:br/>
        <w:t xml:space="preserve">7 See the aforementioned decision COMP/M.6106.  </w:t>
        <w:br/>
        <w:t xml:space="preserve">8 Id.  </w:t>
        <w:br/>
        <w:t xml:space="preserve">9 See the aforementioned decisions COMP/M.6039 and COMP/M.6106.  </w:t>
        <w:br/>
        <w:t xml:space="preserve">10 See the aforementioned decision COMP/M.6106.  </w:t>
        <w:br/>
        <w:t>11 Id.</w:t>
      </w:r>
    </w:p>
    <w:p>
      <w:r>
        <w:rPr>
          <w:b/>
        </w:rPr>
        <w:t>[Pages 4–6]</w:t>
      </w:r>
    </w:p>
    <w:p>
      <w:r>
        <w:t xml:space="preserve">14. In this case, the question of the exact delineation of these markets can be left open, insofar as the conclusions of the competitive analysis remain unchanged, regardless of the segmentations considered.  </w:t>
        <w:br/>
        <w:t xml:space="preserve">3. THE PROVISION OF MAINTENANCE, REPAIR, AND SPARE PARTS SERVICES  </w:t>
        <w:br/>
        <w:t xml:space="preserve">15. European decision-making practice has recognized the existence of a market for the provision of maintenance, repair, and spare parts services distinct from the market for the production and distribution of gas generators. The Commission indeed explains that "the provision of spare parts and maintenance services over the lifespan of a generator constitutes an important downstream market for generators, since over the period of use of a gas generator (ten to fifteen years), the sales of these services are almost equivalent, in terms of value, to the purchase price of the generator."  </w:t>
        <w:br/>
        <w:t xml:space="preserve">16. This analysis is transposable to diesel generators, with the notifying party indicating that the maintenance services for gas generators and diesel generators require different expertise and know-how.  </w:t>
        <w:br/>
        <w:t xml:space="preserve">17. In this case, the question of the exact delineation of these markets can be left open, insofar as the conclusions of the competitive analysis remain unchanged, regardless of the segmentations considered.  </w:t>
        <w:br/>
        <w:t xml:space="preserve">B. GEOGRAPHICAL MARKETS  </w:t>
        <w:br/>
        <w:t xml:space="preserve">1. THE PRODUCTION OF GENERATOR COMPONENTS  </w:t>
        <w:br/>
        <w:t xml:space="preserve">18. Decision-making practice considers that the markets for the production of engines are at least of European dimension, if not global.  </w:t>
        <w:br/>
        <w:t xml:space="preserve">19. Regarding electrical distribution and control panels, decision-making practice has not excluded a national dimension insofar as there are significant differences between products sold in different Member States, for reasons related to the regulatory or normative framework in use in these States and significant price disparities.  </w:t>
        <w:br/>
        <w:t xml:space="preserve">20. In this case, the question of the geographical market dimension can be left open, as the conclusions of the competitive analysis remain unchanged regardless of the delineation retained.  </w:t>
        <w:br/>
        <w:t xml:space="preserve">2. THE PRODUCTION AND DISTRIBUTION OF GENERATOR SETS  </w:t>
        <w:br/>
        <w:t xml:space="preserve">21. Decision-making practice considers that the markets for the production and distribution of gas or diesel generator sets are at least of European dimension, if not global.  </w:t>
        <w:br/>
        <w:t xml:space="preserve">3. THE PROVISION OF MAINTENANCE, REPAIR, AND SPARE PARTS SERVICES  </w:t>
        <w:br/>
        <w:t xml:space="preserve">22. European decision-making practice considers that the geographical dimension of this market is linked to that of the corresponding upstream market, namely, in this case, at least of European dimension.  </w:t>
        <w:br/>
        <w:t xml:space="preserve">III. Competitive Analysis  </w:t>
        <w:br/>
        <w:t xml:space="preserve">23. The operation has horizontal effects on the markets for the production and distribution of generator sets and the provision of maintenance, repair, and spare parts services (A) as well as vertical effects given the presence of the Kohler group upstream of these markets (B).  </w:t>
        <w:br/>
        <w:t xml:space="preserve">A. HORIZONTAL EFFECTS  </w:t>
        <w:br/>
        <w:t xml:space="preserve">1. MARKETS FOR THE PRODUCTION AND DISTRIBUTION OF GENERATOR SETS  </w:t>
        <w:br/>
        <w:t xml:space="preserve">24. Regarding diesel generator sets, the Kohler group holds a market share that does not exceed [10-20]%, regardless of the segmentation considered. The operation results in a limited overlap of activity only in the segment of generator sets delivering powers between 2.5 and 5 MW, in which Clarke Energy holds a marginal position ([0-5]%).  </w:t>
        <w:br/>
        <w:t xml:space="preserve">25. Regarding gas generator sets, the Kohler group holds a market share that does not exceed [0-5]%, regardless of the segmentation considered. The operation results in a limited overlap of activity, with Clarke Energy holding a market share that does not exceed [20-30]%, regardless of the segmentation considered.  </w:t>
        <w:br/>
        <w:t xml:space="preserve">26. In these markets, the new entity will notably continue to face competition from CAT, Cummins, or Wartsila groups.  </w:t>
        <w:br/>
        <w:t xml:space="preserve">27. Furthermore, in the market for the provision of turnkey solutions, the operation does not create any overlap of activity, with only Clarke Energy being active there with a market share of [20-30]% at the European level and [10-20]% at the global level.  </w:t>
        <w:br/>
        <w:t xml:space="preserve">28. Therefore, the operation is not likely to harm competition through horizontal effects in the markets for the production and distribution of generator sets.  </w:t>
        <w:br/>
        <w:t xml:space="preserve">2. MARKET FOR THE PROVISION OF MAINTENANCE, REPAIR, AND SPARE PARTS SERVICES FOR GENERATOR SETS  </w:t>
        <w:br/>
        <w:t xml:space="preserve">29. Regarding the provision of maintenance, repair, and spare parts services for gas generator sets, Clarke Energy holds market shares that do not exceed [10-20]%, regardless of the segmentation considered. The operation results in a limited overlap of activity, with the Kohler group holding a market share that does not exceed [0-5]%, regardless of the segmentation considered.  </w:t>
        <w:br/>
        <w:t xml:space="preserve">30. The activities of the parties do not overlap in the provision of maintenance, repair, and spare parts services for diesel generator sets.  </w:t>
        <w:br/>
        <w:t xml:space="preserve">31. Therefore, the operation is not likely to harm competition through horizontal effects in the markets for the provision of maintenance, repair, and spare parts services for generator sets.  </w:t>
        <w:br/>
        <w:t xml:space="preserve">B. VERTICAL EFFECTS  </w:t>
        <w:br/>
        <w:t xml:space="preserve">32. A vertical concentration can restrict competition by making access to the markets where the new entity will be active more difficult, or even by excluding competitors or penalizing them through an increase in their costs. This lock-in can target downstream markets when the integrated company refuses to sell an input to its downstream competitors. The lock-in strategy can also concern the products of manufacturers active upstream and thus reduce their commercial outlets. However, the Authority considers that it is unlikely that a company with a market share of less than 30% in a given market can lock in a downstream or upstream market.  </w:t>
        <w:br/>
        <w:t xml:space="preserve">33. In the markets where the operation leads to overlaps of activity, the new entity will have a market share of less than 30%, regardless of the segmentations retained. Furthermore, only the Kohler group is active in the upstream markets for the manufacture of components for generator sets with very limited market shares, below [5-10]%, regardless of the segmentations retained.  </w:t>
        <w:br/>
        <w:t>34. Therefore, the operation is not likely to harm competition in the generator sector through vertical effects.</w:t>
      </w:r>
    </w:p>
    <w:p>
      <w:r>
        <w:rPr>
          <w:b/>
        </w:rPr>
        <w:t>[Pages 7–7]</w:t>
      </w:r>
    </w:p>
    <w:p>
      <w:r>
        <w:t xml:space="preserve">DECIDES  </w:t>
        <w:br/>
        <w:t xml:space="preserve">Sole Article: The operation notified under number 16-232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